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82416">
      <w:pPr>
        <w:pStyle w:val="2"/>
        <w:keepNext w:val="0"/>
        <w:keepLines w:val="0"/>
        <w:adjustRightInd w:val="0"/>
        <w:snapToGrid w:val="0"/>
        <w:spacing w:before="0" w:after="0" w:line="800" w:lineRule="exact"/>
        <w:jc w:val="center"/>
        <w:textAlignment w:val="baseline"/>
        <w:rPr>
          <w:rFonts w:hint="eastAsia" w:ascii="宋体" w:hAnsi="宋体" w:eastAsia="宋体" w:cs="宋体"/>
          <w:w w:val="80"/>
          <w:szCs w:val="44"/>
        </w:rPr>
      </w:pPr>
      <w:bookmarkStart w:id="0" w:name="_GoBack"/>
      <w:r>
        <w:rPr>
          <w:rFonts w:hint="eastAsia" w:ascii="宋体" w:hAnsi="宋体" w:eastAsia="宋体" w:cs="宋体"/>
          <w:w w:val="80"/>
          <w:szCs w:val="44"/>
        </w:rPr>
        <w:t>南通市人民代表大会常务委员会办公室信息化服务</w:t>
      </w:r>
    </w:p>
    <w:p w14:paraId="3B56EB3B">
      <w:pPr>
        <w:pStyle w:val="2"/>
        <w:keepNext w:val="0"/>
        <w:keepLines w:val="0"/>
        <w:adjustRightInd w:val="0"/>
        <w:snapToGrid w:val="0"/>
        <w:spacing w:before="0" w:after="0" w:line="800" w:lineRule="exact"/>
        <w:jc w:val="center"/>
        <w:textAlignment w:val="baseline"/>
        <w:rPr>
          <w:rFonts w:ascii="宋体" w:hAnsi="宋体" w:eastAsia="宋体" w:cs="宋体"/>
          <w:w w:val="80"/>
          <w:szCs w:val="44"/>
        </w:rPr>
      </w:pPr>
      <w:r>
        <w:rPr>
          <w:rFonts w:hint="eastAsia" w:ascii="宋体" w:hAnsi="宋体" w:eastAsia="宋体" w:cs="宋体"/>
          <w:w w:val="80"/>
          <w:szCs w:val="44"/>
        </w:rPr>
        <w:t>项目需求</w:t>
      </w:r>
    </w:p>
    <w:bookmarkEnd w:id="0"/>
    <w:p w14:paraId="31AEEB08">
      <w:pPr>
        <w:spacing w:line="360" w:lineRule="auto"/>
        <w:rPr>
          <w:rFonts w:ascii="宋体" w:hAnsi="宋体" w:cs="宋体"/>
          <w:b/>
          <w:szCs w:val="21"/>
        </w:rPr>
      </w:pPr>
      <w:r>
        <w:rPr>
          <w:rFonts w:hint="eastAsia" w:ascii="宋体" w:hAnsi="宋体" w:cs="宋体"/>
          <w:b/>
          <w:szCs w:val="21"/>
        </w:rPr>
        <w:t>一、项目背景</w:t>
      </w:r>
    </w:p>
    <w:p w14:paraId="22BFD028">
      <w:pPr>
        <w:spacing w:line="360" w:lineRule="auto"/>
        <w:ind w:firstLine="420" w:firstLineChars="200"/>
        <w:rPr>
          <w:rFonts w:ascii="宋体" w:hAnsi="宋体" w:cs="宋体"/>
          <w:bCs/>
          <w:szCs w:val="21"/>
        </w:rPr>
      </w:pPr>
      <w:r>
        <w:rPr>
          <w:rFonts w:hint="eastAsia" w:ascii="宋体" w:hAnsi="宋体" w:cs="宋体"/>
          <w:bCs/>
          <w:szCs w:val="21"/>
        </w:rPr>
        <w:t>为响应省“数字人大”运维保障的工作要求，以构建高效、协同、稳定的“数字人大”系统为目标，根据本地使用实际需求，特采购南通“数字人大”运维服务，确保系统运行稳定、高效，数据传递精确、快速，应急响应迅速、有效，风险预警准确、实时，资源调度科学、合理。</w:t>
      </w:r>
    </w:p>
    <w:p w14:paraId="58785349">
      <w:pPr>
        <w:spacing w:line="360" w:lineRule="auto"/>
        <w:rPr>
          <w:rFonts w:ascii="宋体" w:hAnsi="宋体" w:cs="宋体"/>
          <w:b/>
          <w:szCs w:val="21"/>
        </w:rPr>
      </w:pPr>
      <w:r>
        <w:rPr>
          <w:rFonts w:hint="eastAsia" w:ascii="宋体" w:hAnsi="宋体" w:cs="宋体"/>
          <w:b/>
          <w:szCs w:val="21"/>
        </w:rPr>
        <w:t>二、服务内容</w:t>
      </w:r>
    </w:p>
    <w:p w14:paraId="1EFEA3A9">
      <w:pPr>
        <w:spacing w:line="360" w:lineRule="auto"/>
        <w:ind w:firstLine="422" w:firstLineChars="200"/>
        <w:rPr>
          <w:rFonts w:ascii="宋体" w:hAnsi="宋体" w:cs="宋体"/>
          <w:b/>
          <w:szCs w:val="21"/>
        </w:rPr>
      </w:pPr>
      <w:r>
        <w:rPr>
          <w:rFonts w:hint="eastAsia" w:ascii="宋体" w:hAnsi="宋体" w:cs="宋体"/>
          <w:b/>
          <w:szCs w:val="21"/>
        </w:rPr>
        <w:t>1.“数字人大”系统运维保障服务</w:t>
      </w:r>
    </w:p>
    <w:p w14:paraId="60646352">
      <w:pPr>
        <w:spacing w:line="360" w:lineRule="auto"/>
        <w:ind w:firstLine="420" w:firstLineChars="200"/>
        <w:rPr>
          <w:rFonts w:ascii="宋体" w:hAnsi="宋体" w:cs="宋体"/>
          <w:bCs/>
          <w:szCs w:val="21"/>
        </w:rPr>
      </w:pPr>
      <w:r>
        <w:rPr>
          <w:rFonts w:hint="eastAsia" w:ascii="宋体" w:hAnsi="宋体" w:cs="宋体"/>
          <w:bCs/>
          <w:szCs w:val="21"/>
        </w:rPr>
        <w:t>（一）运维组织架构</w:t>
      </w:r>
    </w:p>
    <w:p w14:paraId="1C6D9A3D">
      <w:pPr>
        <w:spacing w:line="360" w:lineRule="auto"/>
        <w:ind w:firstLine="420" w:firstLineChars="200"/>
        <w:rPr>
          <w:rFonts w:ascii="宋体" w:hAnsi="宋体" w:cs="宋体"/>
          <w:bCs/>
          <w:szCs w:val="21"/>
        </w:rPr>
      </w:pPr>
      <w:r>
        <w:rPr>
          <w:rFonts w:hint="eastAsia" w:ascii="宋体" w:hAnsi="宋体" w:cs="宋体"/>
          <w:bCs/>
          <w:szCs w:val="21"/>
        </w:rPr>
        <w:t>（1）运维团队。南通市“数字人大”运维团队由市人大信息化处和供应商专业技术支撑团队组成，专业技术支撑团队下设驻场运维组和远程支撑组，驻场运维组1人，负责协调处理运维相关工作。</w:t>
      </w:r>
    </w:p>
    <w:p w14:paraId="0893D3A1">
      <w:pPr>
        <w:spacing w:before="78" w:line="221" w:lineRule="auto"/>
        <w:ind w:left="3395"/>
        <w:rPr>
          <w:rFonts w:ascii="宋体" w:hAnsi="宋体" w:cs="宋体"/>
          <w:b/>
          <w:bCs/>
          <w:spacing w:val="8"/>
          <w:szCs w:val="21"/>
        </w:rPr>
      </w:pPr>
      <w:r>
        <w:rPr>
          <w:rFonts w:hint="eastAsia" w:ascii="宋体" w:hAnsi="宋体" w:cs="宋体"/>
          <w:b/>
          <w:bCs/>
          <w:spacing w:val="8"/>
          <w:szCs w:val="21"/>
        </w:rPr>
        <w:t>图1运维团队架构</w:t>
      </w:r>
    </w:p>
    <w:p w14:paraId="7947338E">
      <w:pPr>
        <w:spacing w:line="360" w:lineRule="auto"/>
        <w:rPr>
          <w:rFonts w:ascii="宋体" w:hAnsi="宋体" w:cs="宋体"/>
          <w:b/>
          <w:szCs w:val="21"/>
        </w:rPr>
      </w:pPr>
      <w:r>
        <w:rPr>
          <w:rFonts w:hint="eastAsia" w:ascii="宋体" w:hAnsi="宋体" w:cs="宋体"/>
          <w:sz w:val="28"/>
          <w:szCs w:val="28"/>
        </w:rPr>
        <w:drawing>
          <wp:anchor distT="0" distB="0" distL="114300" distR="114300" simplePos="0" relativeHeight="251659264" behindDoc="0" locked="0" layoutInCell="1" allowOverlap="1">
            <wp:simplePos x="0" y="0"/>
            <wp:positionH relativeFrom="column">
              <wp:posOffset>849630</wp:posOffset>
            </wp:positionH>
            <wp:positionV relativeFrom="paragraph">
              <wp:posOffset>88900</wp:posOffset>
            </wp:positionV>
            <wp:extent cx="4048125" cy="1896745"/>
            <wp:effectExtent l="0" t="0" r="3175" b="825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rcRect b="929"/>
                    <a:stretch>
                      <a:fillRect/>
                    </a:stretch>
                  </pic:blipFill>
                  <pic:spPr>
                    <a:xfrm>
                      <a:off x="0" y="0"/>
                      <a:ext cx="4048125" cy="1896745"/>
                    </a:xfrm>
                    <a:prstGeom prst="rect">
                      <a:avLst/>
                    </a:prstGeom>
                    <a:noFill/>
                    <a:ln>
                      <a:noFill/>
                    </a:ln>
                  </pic:spPr>
                </pic:pic>
              </a:graphicData>
            </a:graphic>
          </wp:anchor>
        </w:drawing>
      </w:r>
    </w:p>
    <w:p w14:paraId="4590201E">
      <w:pPr>
        <w:spacing w:line="360" w:lineRule="auto"/>
        <w:ind w:firstLine="420" w:firstLineChars="200"/>
        <w:rPr>
          <w:rFonts w:ascii="宋体" w:hAnsi="宋体" w:cs="宋体"/>
          <w:bCs/>
          <w:szCs w:val="21"/>
        </w:rPr>
      </w:pPr>
      <w:r>
        <w:rPr>
          <w:rFonts w:hint="eastAsia" w:ascii="宋体" w:hAnsi="宋体" w:cs="宋体"/>
          <w:bCs/>
          <w:szCs w:val="21"/>
        </w:rPr>
        <w:t>（2）运维团队的职责。“数字人大”根据部署方式分为“统一建设、统一部署”“统一建设、分级部署”“本地部署、自建接入”三种模式。</w:t>
      </w:r>
    </w:p>
    <w:p w14:paraId="644B2676">
      <w:pPr>
        <w:spacing w:line="360" w:lineRule="auto"/>
        <w:ind w:firstLine="420" w:firstLineChars="200"/>
        <w:rPr>
          <w:rFonts w:ascii="宋体" w:hAnsi="宋体" w:cs="宋体"/>
          <w:bCs/>
          <w:szCs w:val="21"/>
        </w:rPr>
      </w:pPr>
      <w:r>
        <w:rPr>
          <w:rFonts w:hint="eastAsia" w:ascii="宋体" w:hAnsi="宋体" w:cs="宋体"/>
          <w:bCs/>
          <w:szCs w:val="21"/>
        </w:rPr>
        <w:t>市级运维团队职责包括不限于系统日常巡检、故障受理、省市协同、对下统筹等运维工作。关于“统一建设、统一部署”系统的相关问题，市运维团队对问题进行初步分析和汇总后，向上反馈至省运维团队；“统一建设、分级部署”系统相关问题由市级运维团队开展自查，根据实际情况自行处置或向上反馈至省运维团队处理；“本地部署、自建接入” 系统相关问题由市级运维团队联合系统开发单位进行检查处理。</w:t>
      </w:r>
    </w:p>
    <w:p w14:paraId="64534637">
      <w:pPr>
        <w:spacing w:line="360" w:lineRule="auto"/>
        <w:ind w:firstLine="420" w:firstLineChars="200"/>
        <w:rPr>
          <w:rFonts w:ascii="宋体" w:hAnsi="宋体" w:cs="宋体"/>
          <w:bCs/>
          <w:szCs w:val="21"/>
        </w:rPr>
      </w:pPr>
      <w:r>
        <w:rPr>
          <w:rFonts w:hint="eastAsia" w:ascii="宋体" w:hAnsi="宋体" w:cs="宋体"/>
          <w:bCs/>
          <w:szCs w:val="21"/>
        </w:rPr>
        <w:t>（二）运维标准</w:t>
      </w:r>
    </w:p>
    <w:p w14:paraId="0EC2DBA5">
      <w:pPr>
        <w:spacing w:line="360" w:lineRule="auto"/>
        <w:ind w:firstLine="420" w:firstLineChars="200"/>
        <w:rPr>
          <w:rFonts w:ascii="宋体" w:hAnsi="宋体" w:cs="宋体"/>
          <w:bCs/>
          <w:szCs w:val="21"/>
        </w:rPr>
      </w:pPr>
      <w:r>
        <w:rPr>
          <w:rFonts w:hint="eastAsia" w:ascii="宋体" w:hAnsi="宋体" w:cs="宋体"/>
          <w:bCs/>
          <w:szCs w:val="21"/>
        </w:rPr>
        <w:t>依据ITSS5.0(信息技术服务标准体系)、ITIL4(信息技术基础设施库第四版)以及等保2.0三级等要求制定。</w:t>
      </w:r>
    </w:p>
    <w:p w14:paraId="22EC206A">
      <w:pPr>
        <w:spacing w:line="360" w:lineRule="auto"/>
        <w:ind w:firstLine="420" w:firstLineChars="200"/>
        <w:rPr>
          <w:rFonts w:ascii="宋体" w:hAnsi="宋体" w:cs="宋体"/>
          <w:bCs/>
          <w:szCs w:val="21"/>
        </w:rPr>
      </w:pPr>
      <w:r>
        <w:rPr>
          <w:rFonts w:hint="eastAsia" w:ascii="宋体" w:hAnsi="宋体" w:cs="宋体"/>
          <w:bCs/>
          <w:szCs w:val="21"/>
        </w:rPr>
        <w:t>（三）运维关键流程管理</w:t>
      </w:r>
    </w:p>
    <w:p w14:paraId="5538F352">
      <w:pPr>
        <w:spacing w:line="360" w:lineRule="auto"/>
        <w:ind w:firstLine="420" w:firstLineChars="200"/>
        <w:rPr>
          <w:rFonts w:ascii="宋体" w:hAnsi="宋体" w:cs="宋体"/>
          <w:bCs/>
          <w:szCs w:val="21"/>
        </w:rPr>
      </w:pPr>
      <w:r>
        <w:rPr>
          <w:rFonts w:hint="eastAsia" w:ascii="宋体" w:hAnsi="宋体" w:cs="宋体"/>
          <w:bCs/>
          <w:szCs w:val="21"/>
        </w:rPr>
        <w:t>运维关键流程主要包含配置变更、故障处理、版本管理等，根据系统部署方式不同，采用不同的上下联动流程。</w:t>
      </w:r>
    </w:p>
    <w:p w14:paraId="65A402A4">
      <w:pPr>
        <w:spacing w:line="360" w:lineRule="auto"/>
        <w:ind w:firstLine="420" w:firstLineChars="200"/>
        <w:rPr>
          <w:rFonts w:ascii="宋体" w:hAnsi="宋体" w:cs="宋体"/>
          <w:bCs/>
          <w:szCs w:val="21"/>
        </w:rPr>
      </w:pPr>
      <w:r>
        <w:rPr>
          <w:rFonts w:hint="eastAsia" w:ascii="宋体" w:hAnsi="宋体" w:cs="宋体"/>
          <w:bCs/>
          <w:szCs w:val="21"/>
        </w:rPr>
        <w:t>对于“统一建设、统一部署”的系统，可以依托于智慧运维平台实现“数字人大”重要运维流程上下联动的闭环管控，省市运维人员线上流程审核存档，处理配置变更、故障处理、版本管理等关键流程。对于“统一建设、分级部署”以及“本地部署、自建接入”的系统由市级运维人员统筹做好运维工作。</w:t>
      </w:r>
    </w:p>
    <w:p w14:paraId="729000C0">
      <w:pPr>
        <w:spacing w:line="360" w:lineRule="auto"/>
        <w:ind w:firstLine="420" w:firstLineChars="200"/>
        <w:rPr>
          <w:rFonts w:ascii="宋体" w:hAnsi="宋体" w:cs="宋体"/>
          <w:bCs/>
          <w:szCs w:val="21"/>
        </w:rPr>
      </w:pPr>
      <w:r>
        <w:rPr>
          <w:rFonts w:hint="eastAsia" w:ascii="宋体" w:hAnsi="宋体" w:cs="宋体"/>
          <w:bCs/>
          <w:szCs w:val="21"/>
        </w:rPr>
        <w:t>（四）运维服务内容</w:t>
      </w:r>
    </w:p>
    <w:p w14:paraId="79183290">
      <w:pPr>
        <w:spacing w:line="360" w:lineRule="auto"/>
        <w:ind w:firstLine="420" w:firstLineChars="200"/>
        <w:rPr>
          <w:rFonts w:ascii="宋体" w:hAnsi="宋体" w:cs="宋体"/>
          <w:bCs/>
          <w:szCs w:val="21"/>
        </w:rPr>
      </w:pPr>
      <w:r>
        <w:rPr>
          <w:rFonts w:hint="eastAsia" w:ascii="宋体" w:hAnsi="宋体" w:cs="宋体"/>
          <w:bCs/>
          <w:szCs w:val="21"/>
        </w:rPr>
        <w:t>（1）数据管理及备份迁移服务。7×24小时监控数据流，每月开展数据质量检查与报告编制工作。常态化校对“数观人大”汇聚的数据，发现数据存在差异或疑似错误，及时采取措施。负责做好系统所有数据的备份和迁移工作，导出并提供所有系统数据。对因软件或硬件问题出现的故障造成数据丢失，及时重建系统并恢复数据。</w:t>
      </w:r>
    </w:p>
    <w:p w14:paraId="6628023B">
      <w:pPr>
        <w:spacing w:line="360" w:lineRule="auto"/>
        <w:ind w:firstLine="420" w:firstLineChars="200"/>
        <w:rPr>
          <w:rFonts w:ascii="宋体" w:hAnsi="宋体" w:cs="宋体"/>
          <w:bCs/>
          <w:szCs w:val="21"/>
        </w:rPr>
      </w:pPr>
      <w:r>
        <w:rPr>
          <w:rFonts w:hint="eastAsia" w:ascii="宋体" w:hAnsi="宋体" w:cs="宋体"/>
          <w:bCs/>
          <w:szCs w:val="21"/>
        </w:rPr>
        <w:t>（2）系统检查维护服务。定期检查“数字人大”综合性一体化平台系统各模块、硬件环境、软件、数据库、安全等，分析告警日志及时排除故障，确保系统稳定运行。每月形成维护记录，每半年输出平台使用情况报告。</w:t>
      </w:r>
    </w:p>
    <w:p w14:paraId="6A89417A">
      <w:pPr>
        <w:spacing w:line="360" w:lineRule="auto"/>
        <w:ind w:firstLine="420" w:firstLineChars="200"/>
        <w:rPr>
          <w:rFonts w:ascii="宋体" w:hAnsi="宋体" w:cs="宋体"/>
          <w:bCs/>
          <w:szCs w:val="21"/>
        </w:rPr>
      </w:pPr>
      <w:r>
        <w:rPr>
          <w:rFonts w:hint="eastAsia" w:ascii="宋体" w:hAnsi="宋体" w:cs="宋体"/>
          <w:bCs/>
          <w:szCs w:val="21"/>
        </w:rPr>
        <w:t>（3）系统故障响应服务。对软件系统运行过程中出现的软件缺陷及故障进行修复，发生软件系统故障时给予及时、积极的响应。</w:t>
      </w:r>
    </w:p>
    <w:p w14:paraId="2EEAD4F9">
      <w:pPr>
        <w:spacing w:line="360" w:lineRule="auto"/>
        <w:ind w:firstLine="420" w:firstLineChars="200"/>
        <w:rPr>
          <w:rFonts w:ascii="宋体" w:hAnsi="宋体" w:cs="宋体"/>
          <w:bCs/>
          <w:szCs w:val="21"/>
        </w:rPr>
      </w:pPr>
      <w:r>
        <w:rPr>
          <w:rFonts w:hint="eastAsia" w:ascii="宋体" w:hAnsi="宋体" w:cs="宋体"/>
          <w:bCs/>
          <w:szCs w:val="21"/>
        </w:rPr>
        <w:t>（4）系统升级与优化服务。进行必要的补丁升级，提供数据库优化、访问并发优化、系统整体优化等服务，优化与改进系统功能，提升系统运行效率，保障数据交互及系统访问的顺畅，提高用户体验。</w:t>
      </w:r>
    </w:p>
    <w:p w14:paraId="31E2DC37">
      <w:pPr>
        <w:spacing w:line="360" w:lineRule="auto"/>
        <w:ind w:firstLine="420" w:firstLineChars="200"/>
        <w:rPr>
          <w:rFonts w:ascii="宋体" w:hAnsi="宋体" w:cs="宋体"/>
          <w:bCs/>
          <w:szCs w:val="21"/>
        </w:rPr>
      </w:pPr>
      <w:r>
        <w:rPr>
          <w:rFonts w:hint="eastAsia" w:ascii="宋体" w:hAnsi="宋体" w:cs="宋体"/>
          <w:bCs/>
          <w:szCs w:val="21"/>
        </w:rPr>
        <w:t>（5）远程技术咨询服务。提供7*24小时电话或在线网络进行远程支持。</w:t>
      </w:r>
    </w:p>
    <w:p w14:paraId="3DF3AB05">
      <w:pPr>
        <w:spacing w:line="360" w:lineRule="auto"/>
        <w:ind w:firstLine="420" w:firstLineChars="200"/>
        <w:rPr>
          <w:rFonts w:ascii="宋体" w:hAnsi="宋体" w:cs="宋体"/>
          <w:bCs/>
          <w:szCs w:val="21"/>
        </w:rPr>
      </w:pPr>
      <w:r>
        <w:rPr>
          <w:rFonts w:hint="eastAsia" w:ascii="宋体" w:hAnsi="宋体" w:cs="宋体"/>
          <w:bCs/>
          <w:szCs w:val="21"/>
        </w:rPr>
        <w:t>（6）安装培训与指导服务。现场服务用户安装APP，提供并及时更新系统操作手册。</w:t>
      </w:r>
    </w:p>
    <w:p w14:paraId="1E629163">
      <w:pPr>
        <w:spacing w:line="360" w:lineRule="auto"/>
        <w:ind w:firstLine="420" w:firstLineChars="200"/>
        <w:rPr>
          <w:rFonts w:ascii="宋体" w:hAnsi="宋体" w:cs="宋体"/>
          <w:bCs/>
          <w:szCs w:val="21"/>
        </w:rPr>
      </w:pPr>
      <w:r>
        <w:rPr>
          <w:rFonts w:hint="eastAsia" w:ascii="宋体" w:hAnsi="宋体" w:cs="宋体"/>
          <w:bCs/>
          <w:szCs w:val="21"/>
        </w:rPr>
        <w:t>（7）演示支持及驻场运维服务。配合保障各类参观、检查活动，进行系统演示工作。提供一次人代会驻场技术支持，协助人大代表进行数据录入等工作。</w:t>
      </w:r>
    </w:p>
    <w:p w14:paraId="38DC4AD9">
      <w:pPr>
        <w:spacing w:line="360" w:lineRule="auto"/>
        <w:ind w:firstLine="420" w:firstLineChars="200"/>
        <w:rPr>
          <w:rFonts w:ascii="宋体" w:hAnsi="宋体" w:cs="宋体"/>
          <w:bCs/>
          <w:szCs w:val="21"/>
        </w:rPr>
      </w:pPr>
      <w:r>
        <w:rPr>
          <w:rFonts w:hint="eastAsia" w:ascii="宋体" w:hAnsi="宋体" w:cs="宋体"/>
          <w:bCs/>
          <w:szCs w:val="21"/>
        </w:rPr>
        <w:t>（8）网络保障服务。确保重大活动期间相关工作的顺利进行。重大活动保障结束后尽快恢复相关服务。</w:t>
      </w:r>
    </w:p>
    <w:p w14:paraId="2711C2E4">
      <w:pPr>
        <w:spacing w:line="360" w:lineRule="auto"/>
        <w:ind w:firstLine="420" w:firstLineChars="200"/>
        <w:rPr>
          <w:rFonts w:ascii="宋体" w:hAnsi="宋体" w:cs="宋体"/>
          <w:bCs/>
          <w:szCs w:val="21"/>
        </w:rPr>
      </w:pPr>
      <w:r>
        <w:rPr>
          <w:rFonts w:hint="eastAsia" w:ascii="宋体" w:hAnsi="宋体" w:cs="宋体"/>
          <w:bCs/>
          <w:szCs w:val="21"/>
        </w:rPr>
        <w:t>（9）系统平板端服务。提供平板端系统技术支持，使用指导、系统设置、维修更新等维保全流程服务。</w:t>
      </w:r>
    </w:p>
    <w:p w14:paraId="7000C484">
      <w:pPr>
        <w:spacing w:line="360" w:lineRule="auto"/>
        <w:ind w:firstLine="420" w:firstLineChars="200"/>
        <w:rPr>
          <w:rFonts w:ascii="宋体" w:hAnsi="宋体" w:cs="宋体"/>
          <w:bCs/>
          <w:szCs w:val="21"/>
        </w:rPr>
      </w:pPr>
      <w:r>
        <w:rPr>
          <w:rFonts w:hint="eastAsia" w:ascii="宋体" w:hAnsi="宋体" w:cs="宋体"/>
          <w:bCs/>
          <w:szCs w:val="21"/>
        </w:rPr>
        <w:t>（10）巡防服务。不定期现场巡防，收集日常使用出现积累的软件问题，现场维护解决或讨论分析后集中统一解决，解决时间原则上不超过1周。</w:t>
      </w:r>
    </w:p>
    <w:p w14:paraId="505B0093">
      <w:pPr>
        <w:spacing w:line="360" w:lineRule="auto"/>
        <w:ind w:firstLine="420" w:firstLineChars="200"/>
        <w:rPr>
          <w:rFonts w:ascii="宋体" w:hAnsi="宋体" w:cs="宋体"/>
          <w:bCs/>
          <w:szCs w:val="21"/>
        </w:rPr>
      </w:pPr>
      <w:r>
        <w:rPr>
          <w:rFonts w:hint="eastAsia" w:ascii="宋体" w:hAnsi="宋体" w:cs="宋体"/>
          <w:bCs/>
          <w:szCs w:val="21"/>
        </w:rPr>
        <w:t>（11）其他。根据省“数字人大”运维要求做好相关工作，司法监督平台日常运维。</w:t>
      </w:r>
    </w:p>
    <w:p w14:paraId="62CE891F">
      <w:pPr>
        <w:spacing w:line="360" w:lineRule="auto"/>
        <w:ind w:firstLine="420" w:firstLineChars="200"/>
        <w:rPr>
          <w:rFonts w:ascii="宋体" w:hAnsi="宋体" w:cs="宋体"/>
          <w:bCs/>
          <w:szCs w:val="21"/>
        </w:rPr>
      </w:pPr>
      <w:r>
        <w:rPr>
          <w:rFonts w:hint="eastAsia" w:ascii="宋体" w:hAnsi="宋体" w:cs="宋体"/>
          <w:bCs/>
          <w:szCs w:val="21"/>
        </w:rPr>
        <w:t>（五）重大活动保障职责</w:t>
      </w:r>
    </w:p>
    <w:tbl>
      <w:tblPr>
        <w:tblStyle w:val="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6"/>
        <w:gridCol w:w="2890"/>
        <w:gridCol w:w="4623"/>
      </w:tblGrid>
      <w:tr w14:paraId="6694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2006" w:type="dxa"/>
            <w:tcBorders>
              <w:top w:val="single" w:color="auto" w:sz="4" w:space="0"/>
              <w:left w:val="single" w:color="auto" w:sz="4" w:space="0"/>
              <w:bottom w:val="single" w:color="auto" w:sz="4" w:space="0"/>
              <w:right w:val="single" w:color="auto" w:sz="4" w:space="0"/>
              <w:tl2br w:val="nil"/>
            </w:tcBorders>
            <w:shd w:val="clear" w:color="auto" w:fill="C9C9C9"/>
            <w:vAlign w:val="center"/>
          </w:tcPr>
          <w:p w14:paraId="5851E45D">
            <w:pPr>
              <w:jc w:val="center"/>
              <w:rPr>
                <w:rFonts w:ascii="宋体" w:hAnsi="宋体" w:cs="宋体"/>
                <w:b/>
                <w:szCs w:val="21"/>
                <w:lang w:bidi="ar"/>
              </w:rPr>
            </w:pPr>
            <w:r>
              <w:rPr>
                <w:rFonts w:hint="eastAsia" w:ascii="宋体" w:hAnsi="宋体" w:cs="宋体"/>
                <w:b/>
                <w:szCs w:val="21"/>
                <w:lang w:bidi="ar"/>
              </w:rPr>
              <w:t>重大活动保障角色</w:t>
            </w:r>
          </w:p>
        </w:tc>
        <w:tc>
          <w:tcPr>
            <w:tcW w:w="2890" w:type="dxa"/>
            <w:tcBorders>
              <w:top w:val="single" w:color="auto" w:sz="4" w:space="0"/>
              <w:left w:val="single" w:color="auto" w:sz="4" w:space="0"/>
              <w:bottom w:val="single" w:color="auto" w:sz="4" w:space="0"/>
              <w:right w:val="single" w:color="auto" w:sz="4" w:space="0"/>
            </w:tcBorders>
            <w:shd w:val="clear" w:color="auto" w:fill="C9C9C9"/>
            <w:vAlign w:val="center"/>
          </w:tcPr>
          <w:p w14:paraId="4A7C9184">
            <w:pPr>
              <w:jc w:val="center"/>
              <w:rPr>
                <w:rFonts w:ascii="宋体" w:hAnsi="宋体" w:cs="宋体"/>
                <w:b/>
                <w:szCs w:val="21"/>
                <w:lang w:bidi="ar"/>
              </w:rPr>
            </w:pPr>
            <w:r>
              <w:rPr>
                <w:rFonts w:hint="eastAsia" w:ascii="宋体" w:hAnsi="宋体" w:cs="宋体"/>
                <w:b/>
                <w:szCs w:val="21"/>
                <w:lang w:bidi="ar"/>
              </w:rPr>
              <w:t>主要职责</w:t>
            </w:r>
          </w:p>
        </w:tc>
        <w:tc>
          <w:tcPr>
            <w:tcW w:w="4623" w:type="dxa"/>
            <w:tcBorders>
              <w:top w:val="single" w:color="auto" w:sz="4" w:space="0"/>
              <w:left w:val="single" w:color="auto" w:sz="4" w:space="0"/>
              <w:bottom w:val="single" w:color="auto" w:sz="4" w:space="0"/>
              <w:right w:val="single" w:color="auto" w:sz="4" w:space="0"/>
            </w:tcBorders>
            <w:shd w:val="clear" w:color="auto" w:fill="C9C9C9"/>
            <w:vAlign w:val="center"/>
          </w:tcPr>
          <w:p w14:paraId="2D77685B">
            <w:pPr>
              <w:jc w:val="center"/>
              <w:rPr>
                <w:rFonts w:ascii="宋体" w:hAnsi="宋体" w:cs="宋体"/>
                <w:b/>
                <w:szCs w:val="21"/>
                <w:lang w:bidi="ar"/>
              </w:rPr>
            </w:pPr>
            <w:r>
              <w:rPr>
                <w:rFonts w:hint="eastAsia" w:ascii="宋体" w:hAnsi="宋体" w:cs="宋体"/>
                <w:b/>
                <w:szCs w:val="21"/>
                <w:lang w:bidi="ar"/>
              </w:rPr>
              <w:t>具体事务内容</w:t>
            </w:r>
          </w:p>
        </w:tc>
      </w:tr>
      <w:tr w14:paraId="2A9D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14:paraId="5D449EC0">
            <w:pPr>
              <w:jc w:val="center"/>
              <w:rPr>
                <w:rFonts w:ascii="宋体" w:hAnsi="宋体" w:cs="宋体"/>
                <w:szCs w:val="21"/>
                <w:lang w:bidi="ar"/>
              </w:rPr>
            </w:pPr>
            <w:r>
              <w:rPr>
                <w:rFonts w:hint="eastAsia" w:ascii="宋体" w:hAnsi="宋体" w:cs="宋体"/>
                <w:szCs w:val="21"/>
                <w:lang w:bidi="ar"/>
              </w:rPr>
              <w:t>负责人</w:t>
            </w:r>
          </w:p>
        </w:tc>
        <w:tc>
          <w:tcPr>
            <w:tcW w:w="2890" w:type="dxa"/>
            <w:tcBorders>
              <w:top w:val="single" w:color="auto" w:sz="4" w:space="0"/>
              <w:left w:val="single" w:color="auto" w:sz="4" w:space="0"/>
              <w:bottom w:val="single" w:color="auto" w:sz="4" w:space="0"/>
              <w:right w:val="single" w:color="auto" w:sz="4" w:space="0"/>
            </w:tcBorders>
            <w:shd w:val="clear" w:color="auto" w:fill="FFFFFF"/>
            <w:vAlign w:val="center"/>
          </w:tcPr>
          <w:p w14:paraId="3354C765">
            <w:pPr>
              <w:jc w:val="center"/>
              <w:rPr>
                <w:rFonts w:ascii="宋体" w:hAnsi="宋体" w:cs="宋体"/>
                <w:szCs w:val="21"/>
                <w:lang w:bidi="ar"/>
              </w:rPr>
            </w:pPr>
            <w:r>
              <w:rPr>
                <w:rFonts w:hint="eastAsia" w:ascii="宋体" w:hAnsi="宋体" w:cs="宋体"/>
                <w:szCs w:val="21"/>
                <w:lang w:bidi="ar"/>
              </w:rPr>
              <w:t>客户对接、故障通报</w:t>
            </w:r>
          </w:p>
        </w:tc>
        <w:tc>
          <w:tcPr>
            <w:tcW w:w="4623" w:type="dxa"/>
            <w:tcBorders>
              <w:top w:val="single" w:color="auto" w:sz="4" w:space="0"/>
              <w:left w:val="single" w:color="auto" w:sz="4" w:space="0"/>
              <w:bottom w:val="single" w:color="auto" w:sz="4" w:space="0"/>
              <w:right w:val="single" w:color="auto" w:sz="4" w:space="0"/>
            </w:tcBorders>
            <w:shd w:val="clear" w:color="auto" w:fill="FFFFFF"/>
            <w:vAlign w:val="center"/>
          </w:tcPr>
          <w:p w14:paraId="0E1C4640">
            <w:pPr>
              <w:jc w:val="center"/>
              <w:rPr>
                <w:rFonts w:ascii="宋体" w:hAnsi="宋体" w:cs="宋体"/>
                <w:szCs w:val="21"/>
                <w:lang w:bidi="ar"/>
              </w:rPr>
            </w:pPr>
            <w:r>
              <w:rPr>
                <w:rFonts w:hint="eastAsia" w:ascii="宋体" w:hAnsi="宋体" w:cs="宋体"/>
                <w:szCs w:val="21"/>
                <w:lang w:bidi="ar"/>
              </w:rPr>
              <w:t>牵头处理故障，协调人力资源</w:t>
            </w:r>
          </w:p>
        </w:tc>
      </w:tr>
      <w:tr w14:paraId="62CC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14:paraId="51C2535C">
            <w:pPr>
              <w:jc w:val="center"/>
              <w:rPr>
                <w:rFonts w:ascii="宋体" w:hAnsi="宋体" w:cs="宋体"/>
                <w:szCs w:val="21"/>
                <w:lang w:bidi="ar"/>
              </w:rPr>
            </w:pPr>
            <w:r>
              <w:rPr>
                <w:rFonts w:hint="eastAsia" w:ascii="宋体" w:hAnsi="宋体" w:cs="宋体"/>
                <w:szCs w:val="21"/>
                <w:lang w:bidi="ar"/>
              </w:rPr>
              <w:t>驻场运维组</w:t>
            </w:r>
          </w:p>
        </w:tc>
        <w:tc>
          <w:tcPr>
            <w:tcW w:w="2890" w:type="dxa"/>
            <w:tcBorders>
              <w:top w:val="single" w:color="auto" w:sz="4" w:space="0"/>
              <w:left w:val="single" w:color="auto" w:sz="4" w:space="0"/>
              <w:bottom w:val="single" w:color="auto" w:sz="4" w:space="0"/>
              <w:right w:val="single" w:color="auto" w:sz="4" w:space="0"/>
            </w:tcBorders>
            <w:shd w:val="clear" w:color="auto" w:fill="FFFFFF"/>
            <w:vAlign w:val="center"/>
          </w:tcPr>
          <w:p w14:paraId="180464A9">
            <w:pPr>
              <w:jc w:val="center"/>
              <w:rPr>
                <w:rFonts w:ascii="宋体" w:hAnsi="宋体" w:cs="宋体"/>
                <w:szCs w:val="21"/>
                <w:lang w:bidi="ar"/>
              </w:rPr>
            </w:pPr>
            <w:r>
              <w:rPr>
                <w:rFonts w:hint="eastAsia" w:ascii="宋体" w:hAnsi="宋体" w:cs="宋体"/>
                <w:szCs w:val="21"/>
                <w:lang w:bidi="ar"/>
              </w:rPr>
              <w:t>故障现场处理</w:t>
            </w:r>
          </w:p>
        </w:tc>
        <w:tc>
          <w:tcPr>
            <w:tcW w:w="4623" w:type="dxa"/>
            <w:tcBorders>
              <w:top w:val="single" w:color="auto" w:sz="4" w:space="0"/>
              <w:left w:val="single" w:color="auto" w:sz="4" w:space="0"/>
              <w:bottom w:val="single" w:color="auto" w:sz="4" w:space="0"/>
              <w:right w:val="single" w:color="auto" w:sz="4" w:space="0"/>
            </w:tcBorders>
            <w:shd w:val="clear" w:color="auto" w:fill="FFFFFF"/>
            <w:vAlign w:val="center"/>
          </w:tcPr>
          <w:p w14:paraId="372CE173">
            <w:pPr>
              <w:jc w:val="left"/>
              <w:rPr>
                <w:rFonts w:ascii="宋体" w:hAnsi="宋体" w:cs="宋体"/>
                <w:szCs w:val="21"/>
                <w:lang w:bidi="ar"/>
              </w:rPr>
            </w:pPr>
            <w:r>
              <w:rPr>
                <w:rFonts w:ascii="宋体" w:hAnsi="宋体" w:cs="宋体"/>
                <w:szCs w:val="21"/>
                <w:lang w:bidi="ar"/>
              </w:rPr>
              <w:t>1</w:t>
            </w:r>
            <w:r>
              <w:rPr>
                <w:rFonts w:hint="eastAsia" w:ascii="宋体" w:hAnsi="宋体" w:cs="宋体"/>
                <w:szCs w:val="21"/>
                <w:lang w:bidi="ar"/>
              </w:rPr>
              <w:t xml:space="preserve">.负责用户保障的接收和处理 </w:t>
            </w:r>
          </w:p>
          <w:p w14:paraId="4DEEE782">
            <w:pPr>
              <w:jc w:val="left"/>
              <w:rPr>
                <w:rFonts w:ascii="宋体" w:hAnsi="宋体" w:cs="宋体"/>
                <w:szCs w:val="21"/>
                <w:lang w:bidi="ar"/>
              </w:rPr>
            </w:pPr>
            <w:r>
              <w:rPr>
                <w:rFonts w:ascii="宋体" w:hAnsi="宋体" w:cs="宋体"/>
                <w:szCs w:val="21"/>
                <w:lang w:bidi="ar"/>
              </w:rPr>
              <w:t>2</w:t>
            </w:r>
            <w:r>
              <w:rPr>
                <w:rFonts w:hint="eastAsia" w:ascii="宋体" w:hAnsi="宋体" w:cs="宋体"/>
                <w:szCs w:val="21"/>
                <w:lang w:bidi="ar"/>
              </w:rPr>
              <w:t>.负责测试和验证业务的状态及告警信息查看，分派故障对应厂商</w:t>
            </w:r>
          </w:p>
        </w:tc>
      </w:tr>
      <w:tr w14:paraId="7AAD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14:paraId="5077294E">
            <w:pPr>
              <w:jc w:val="center"/>
              <w:rPr>
                <w:rFonts w:ascii="宋体" w:hAnsi="宋体" w:cs="宋体"/>
                <w:szCs w:val="21"/>
                <w:lang w:bidi="ar"/>
              </w:rPr>
            </w:pPr>
            <w:r>
              <w:rPr>
                <w:rFonts w:hint="eastAsia" w:ascii="宋体" w:hAnsi="宋体" w:cs="宋体"/>
                <w:szCs w:val="21"/>
                <w:lang w:bidi="ar"/>
              </w:rPr>
              <w:t>远程支撑组</w:t>
            </w:r>
          </w:p>
        </w:tc>
        <w:tc>
          <w:tcPr>
            <w:tcW w:w="2890" w:type="dxa"/>
            <w:tcBorders>
              <w:top w:val="single" w:color="auto" w:sz="4" w:space="0"/>
              <w:left w:val="single" w:color="auto" w:sz="4" w:space="0"/>
              <w:bottom w:val="single" w:color="auto" w:sz="4" w:space="0"/>
              <w:right w:val="single" w:color="auto" w:sz="4" w:space="0"/>
            </w:tcBorders>
            <w:shd w:val="clear" w:color="auto" w:fill="FFFFFF"/>
            <w:vAlign w:val="center"/>
          </w:tcPr>
          <w:p w14:paraId="15222787">
            <w:pPr>
              <w:jc w:val="center"/>
              <w:rPr>
                <w:rFonts w:ascii="宋体" w:hAnsi="宋体" w:cs="宋体"/>
                <w:szCs w:val="21"/>
                <w:lang w:bidi="ar"/>
              </w:rPr>
            </w:pPr>
            <w:r>
              <w:rPr>
                <w:rFonts w:hint="eastAsia" w:ascii="宋体" w:hAnsi="宋体" w:cs="宋体"/>
                <w:szCs w:val="21"/>
                <w:lang w:bidi="ar"/>
              </w:rPr>
              <w:t>远程技术支撑服务</w:t>
            </w:r>
          </w:p>
        </w:tc>
        <w:tc>
          <w:tcPr>
            <w:tcW w:w="4623" w:type="dxa"/>
            <w:tcBorders>
              <w:top w:val="single" w:color="auto" w:sz="4" w:space="0"/>
              <w:left w:val="single" w:color="auto" w:sz="4" w:space="0"/>
              <w:bottom w:val="single" w:color="auto" w:sz="4" w:space="0"/>
              <w:right w:val="single" w:color="auto" w:sz="4" w:space="0"/>
            </w:tcBorders>
            <w:shd w:val="clear" w:color="auto" w:fill="FFFFFF"/>
            <w:vAlign w:val="center"/>
          </w:tcPr>
          <w:p w14:paraId="4C1B695C">
            <w:pPr>
              <w:jc w:val="center"/>
              <w:rPr>
                <w:rFonts w:ascii="宋体" w:hAnsi="宋体" w:cs="宋体"/>
                <w:szCs w:val="21"/>
                <w:lang w:bidi="ar"/>
              </w:rPr>
            </w:pPr>
            <w:r>
              <w:rPr>
                <w:rFonts w:hint="eastAsia" w:ascii="宋体" w:hAnsi="宋体" w:cs="宋体"/>
                <w:szCs w:val="21"/>
                <w:lang w:bidi="ar"/>
              </w:rPr>
              <w:t>负责深度系统故障处理和应急处理</w:t>
            </w:r>
          </w:p>
        </w:tc>
      </w:tr>
    </w:tbl>
    <w:p w14:paraId="3922492B">
      <w:pPr>
        <w:spacing w:line="360" w:lineRule="auto"/>
        <w:ind w:firstLine="420" w:firstLineChars="200"/>
        <w:rPr>
          <w:rFonts w:ascii="宋体" w:hAnsi="宋体" w:cs="宋体"/>
          <w:bCs/>
          <w:szCs w:val="21"/>
        </w:rPr>
      </w:pPr>
      <w:r>
        <w:rPr>
          <w:rFonts w:hint="eastAsia" w:ascii="宋体" w:hAnsi="宋体" w:cs="宋体"/>
          <w:bCs/>
          <w:szCs w:val="21"/>
        </w:rPr>
        <w:t>（六）日常数据维护</w:t>
      </w:r>
    </w:p>
    <w:p w14:paraId="2CCA3204">
      <w:pPr>
        <w:spacing w:line="360" w:lineRule="auto"/>
        <w:ind w:firstLine="420" w:firstLineChars="200"/>
        <w:rPr>
          <w:rFonts w:ascii="宋体" w:hAnsi="宋体" w:cs="宋体"/>
          <w:bCs/>
          <w:szCs w:val="21"/>
        </w:rPr>
      </w:pPr>
      <w:r>
        <w:rPr>
          <w:rFonts w:hint="eastAsia" w:ascii="宋体" w:hAnsi="宋体" w:cs="宋体"/>
          <w:bCs/>
          <w:szCs w:val="21"/>
        </w:rPr>
        <w:t>1.用户信息管理：包括用户信息变更、新增、删除，涉及代表履职、通讯录、会议阅文等模块；</w:t>
      </w:r>
    </w:p>
    <w:p w14:paraId="08FD1390">
      <w:pPr>
        <w:spacing w:line="360" w:lineRule="auto"/>
        <w:ind w:firstLine="420" w:firstLineChars="200"/>
        <w:rPr>
          <w:rFonts w:ascii="宋体" w:hAnsi="宋体" w:cs="宋体"/>
          <w:bCs/>
          <w:szCs w:val="21"/>
        </w:rPr>
      </w:pPr>
      <w:r>
        <w:rPr>
          <w:rFonts w:hint="eastAsia" w:ascii="宋体" w:hAnsi="宋体" w:cs="宋体"/>
          <w:bCs/>
          <w:szCs w:val="21"/>
        </w:rPr>
        <w:t>2.信息数据录入：协助人大数字官完成数据录入工作，涉及监督、立法、决定、选举任免、公众参与、会议阅文、代表履职、通立法、民生实事等模块；</w:t>
      </w:r>
    </w:p>
    <w:p w14:paraId="11212B74">
      <w:pPr>
        <w:spacing w:line="360" w:lineRule="auto"/>
        <w:ind w:firstLine="420" w:firstLineChars="200"/>
        <w:rPr>
          <w:rFonts w:ascii="宋体" w:hAnsi="宋体" w:cs="宋体"/>
          <w:bCs/>
          <w:szCs w:val="21"/>
        </w:rPr>
      </w:pPr>
      <w:r>
        <w:rPr>
          <w:rFonts w:hint="eastAsia" w:ascii="宋体" w:hAnsi="宋体" w:cs="宋体"/>
          <w:bCs/>
          <w:szCs w:val="21"/>
        </w:rPr>
        <w:t>3.权限变更配置：包括人员权限变更、组织结构变更、承办单位变更等，涉及决定工作、选举任免、监督工作、阅文系统等模块。</w:t>
      </w:r>
    </w:p>
    <w:p w14:paraId="1FB733F7">
      <w:pPr>
        <w:spacing w:line="360" w:lineRule="auto"/>
        <w:ind w:firstLine="422" w:firstLineChars="200"/>
        <w:rPr>
          <w:rFonts w:ascii="宋体" w:hAnsi="宋体" w:cs="宋体"/>
          <w:b/>
          <w:szCs w:val="21"/>
        </w:rPr>
      </w:pPr>
      <w:r>
        <w:rPr>
          <w:rFonts w:hint="eastAsia" w:ascii="宋体" w:hAnsi="宋体" w:cs="宋体"/>
          <w:b/>
          <w:szCs w:val="21"/>
        </w:rPr>
        <w:t>2.网络安全等级保护测评服务</w:t>
      </w:r>
    </w:p>
    <w:p w14:paraId="1278C809">
      <w:pPr>
        <w:spacing w:line="360" w:lineRule="auto"/>
        <w:ind w:firstLine="420" w:firstLineChars="200"/>
        <w:rPr>
          <w:rFonts w:ascii="宋体" w:hAnsi="宋体" w:cs="宋体"/>
          <w:bCs/>
          <w:szCs w:val="21"/>
        </w:rPr>
      </w:pPr>
      <w:r>
        <w:rPr>
          <w:rFonts w:hint="eastAsia" w:ascii="宋体" w:hAnsi="宋体" w:cs="宋体"/>
          <w:bCs/>
          <w:szCs w:val="21"/>
        </w:rPr>
        <w:t>（一）本项目服务范围</w:t>
      </w:r>
    </w:p>
    <w:tbl>
      <w:tblPr>
        <w:tblStyle w:val="8"/>
        <w:tblW w:w="8458" w:type="dxa"/>
        <w:jc w:val="center"/>
        <w:tblLayout w:type="autofit"/>
        <w:tblCellMar>
          <w:top w:w="15" w:type="dxa"/>
          <w:left w:w="15" w:type="dxa"/>
          <w:bottom w:w="15" w:type="dxa"/>
          <w:right w:w="15" w:type="dxa"/>
        </w:tblCellMar>
      </w:tblPr>
      <w:tblGrid>
        <w:gridCol w:w="1042"/>
        <w:gridCol w:w="4617"/>
        <w:gridCol w:w="1042"/>
        <w:gridCol w:w="1757"/>
      </w:tblGrid>
      <w:tr w14:paraId="2D89FDB0">
        <w:tblPrEx>
          <w:tblCellMar>
            <w:top w:w="15" w:type="dxa"/>
            <w:left w:w="15" w:type="dxa"/>
            <w:bottom w:w="15" w:type="dxa"/>
            <w:right w:w="15"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48" w:type="dxa"/>
              <w:left w:w="96" w:type="dxa"/>
              <w:bottom w:w="48" w:type="dxa"/>
              <w:right w:w="96" w:type="dxa"/>
            </w:tcMar>
            <w:vAlign w:val="center"/>
          </w:tcPr>
          <w:p w14:paraId="3562650A">
            <w:pPr>
              <w:pStyle w:val="7"/>
              <w:widowControl/>
              <w:spacing w:beforeAutospacing="0" w:afterAutospacing="0" w:line="360" w:lineRule="auto"/>
              <w:jc w:val="center"/>
              <w:rPr>
                <w:rFonts w:ascii="宋体" w:hAnsi="宋体" w:cs="宋体"/>
                <w:sz w:val="21"/>
                <w:szCs w:val="21"/>
              </w:rPr>
            </w:pPr>
            <w:r>
              <w:rPr>
                <w:rFonts w:hint="eastAsia" w:ascii="宋体" w:hAnsi="宋体" w:cs="宋体"/>
                <w:sz w:val="21"/>
                <w:szCs w:val="21"/>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48" w:type="dxa"/>
              <w:left w:w="96" w:type="dxa"/>
              <w:bottom w:w="48" w:type="dxa"/>
              <w:right w:w="96" w:type="dxa"/>
            </w:tcMar>
            <w:vAlign w:val="center"/>
          </w:tcPr>
          <w:p w14:paraId="05BC4AF8">
            <w:pPr>
              <w:pStyle w:val="7"/>
              <w:widowControl/>
              <w:spacing w:beforeAutospacing="0" w:afterAutospacing="0" w:line="360" w:lineRule="auto"/>
              <w:jc w:val="center"/>
              <w:rPr>
                <w:rFonts w:ascii="宋体" w:hAnsi="宋体" w:cs="宋体"/>
                <w:sz w:val="21"/>
                <w:szCs w:val="21"/>
              </w:rPr>
            </w:pPr>
            <w:r>
              <w:rPr>
                <w:rFonts w:hint="eastAsia" w:ascii="宋体" w:hAnsi="宋体" w:cs="宋体"/>
                <w:sz w:val="21"/>
                <w:szCs w:val="21"/>
              </w:rPr>
              <w:t>系统名称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48" w:type="dxa"/>
              <w:left w:w="96" w:type="dxa"/>
              <w:bottom w:w="48" w:type="dxa"/>
              <w:right w:w="96" w:type="dxa"/>
            </w:tcMar>
            <w:vAlign w:val="center"/>
          </w:tcPr>
          <w:p w14:paraId="54342834">
            <w:pPr>
              <w:pStyle w:val="7"/>
              <w:widowControl/>
              <w:spacing w:beforeAutospacing="0" w:afterAutospacing="0" w:line="360" w:lineRule="auto"/>
              <w:jc w:val="center"/>
              <w:rPr>
                <w:rFonts w:ascii="宋体" w:hAnsi="宋体" w:cs="宋体"/>
                <w:sz w:val="21"/>
                <w:szCs w:val="21"/>
              </w:rPr>
            </w:pPr>
            <w:r>
              <w:rPr>
                <w:rFonts w:hint="eastAsia" w:ascii="宋体" w:hAnsi="宋体" w:cs="宋体"/>
                <w:sz w:val="21"/>
                <w:szCs w:val="21"/>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48" w:type="dxa"/>
              <w:left w:w="96" w:type="dxa"/>
              <w:bottom w:w="48" w:type="dxa"/>
              <w:right w:w="96" w:type="dxa"/>
            </w:tcMar>
            <w:vAlign w:val="center"/>
          </w:tcPr>
          <w:p w14:paraId="6C93519B">
            <w:pPr>
              <w:pStyle w:val="7"/>
              <w:widowControl/>
              <w:spacing w:beforeAutospacing="0" w:afterAutospacing="0" w:line="360" w:lineRule="auto"/>
              <w:jc w:val="center"/>
              <w:rPr>
                <w:rFonts w:ascii="宋体" w:hAnsi="宋体" w:cs="宋体"/>
                <w:sz w:val="21"/>
                <w:szCs w:val="21"/>
              </w:rPr>
            </w:pPr>
            <w:r>
              <w:rPr>
                <w:rFonts w:hint="eastAsia" w:ascii="宋体" w:hAnsi="宋体" w:cs="宋体"/>
                <w:sz w:val="21"/>
                <w:szCs w:val="21"/>
              </w:rPr>
              <w:t>备案等级</w:t>
            </w:r>
          </w:p>
        </w:tc>
      </w:tr>
      <w:tr w14:paraId="078F8D60">
        <w:tblPrEx>
          <w:tblCellMar>
            <w:top w:w="15" w:type="dxa"/>
            <w:left w:w="15" w:type="dxa"/>
            <w:bottom w:w="15" w:type="dxa"/>
            <w:right w:w="15"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48" w:type="dxa"/>
              <w:left w:w="96" w:type="dxa"/>
              <w:bottom w:w="48" w:type="dxa"/>
              <w:right w:w="96" w:type="dxa"/>
            </w:tcMar>
            <w:vAlign w:val="center"/>
          </w:tcPr>
          <w:p w14:paraId="1363FFC0">
            <w:pPr>
              <w:pStyle w:val="7"/>
              <w:widowControl/>
              <w:spacing w:beforeAutospacing="0" w:afterAutospacing="0" w:line="360" w:lineRule="auto"/>
              <w:jc w:val="center"/>
              <w:rPr>
                <w:rFonts w:ascii="宋体" w:hAnsi="宋体" w:cs="宋体"/>
                <w:sz w:val="21"/>
                <w:szCs w:val="21"/>
              </w:rPr>
            </w:pPr>
            <w:r>
              <w:rPr>
                <w:rFonts w:hint="eastAsia" w:ascii="宋体" w:hAnsi="宋体" w:cs="宋体"/>
                <w:sz w:val="21"/>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48" w:type="dxa"/>
              <w:left w:w="96" w:type="dxa"/>
              <w:bottom w:w="48" w:type="dxa"/>
              <w:right w:w="96" w:type="dxa"/>
            </w:tcMar>
            <w:vAlign w:val="center"/>
          </w:tcPr>
          <w:p w14:paraId="160DAFFF">
            <w:pPr>
              <w:pStyle w:val="7"/>
              <w:widowControl/>
              <w:spacing w:beforeAutospacing="0" w:afterAutospacing="0" w:line="360" w:lineRule="auto"/>
              <w:jc w:val="center"/>
              <w:rPr>
                <w:rFonts w:ascii="宋体" w:hAnsi="宋体" w:cs="宋体"/>
                <w:sz w:val="21"/>
                <w:szCs w:val="21"/>
              </w:rPr>
            </w:pPr>
            <w:r>
              <w:rPr>
                <w:rFonts w:hint="eastAsia" w:ascii="宋体" w:hAnsi="宋体" w:cs="宋体"/>
                <w:sz w:val="21"/>
                <w:szCs w:val="21"/>
              </w:rPr>
              <w:t>数字人大系统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48" w:type="dxa"/>
              <w:left w:w="96" w:type="dxa"/>
              <w:bottom w:w="48" w:type="dxa"/>
              <w:right w:w="96" w:type="dxa"/>
            </w:tcMar>
            <w:vAlign w:val="center"/>
          </w:tcPr>
          <w:p w14:paraId="62656273">
            <w:pPr>
              <w:pStyle w:val="7"/>
              <w:widowControl/>
              <w:spacing w:beforeAutospacing="0" w:afterAutospacing="0" w:line="360" w:lineRule="auto"/>
              <w:jc w:val="center"/>
              <w:rPr>
                <w:rFonts w:ascii="宋体" w:hAnsi="宋体" w:cs="宋体"/>
                <w:sz w:val="21"/>
                <w:szCs w:val="21"/>
              </w:rPr>
            </w:pPr>
            <w:r>
              <w:rPr>
                <w:rFonts w:hint="eastAsia" w:ascii="宋体" w:hAnsi="宋体" w:cs="宋体"/>
                <w:sz w:val="21"/>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48" w:type="dxa"/>
              <w:left w:w="96" w:type="dxa"/>
              <w:bottom w:w="48" w:type="dxa"/>
              <w:right w:w="96" w:type="dxa"/>
            </w:tcMar>
            <w:vAlign w:val="center"/>
          </w:tcPr>
          <w:p w14:paraId="02B27015">
            <w:pPr>
              <w:pStyle w:val="7"/>
              <w:widowControl/>
              <w:spacing w:beforeAutospacing="0" w:afterAutospacing="0" w:line="360" w:lineRule="auto"/>
              <w:jc w:val="center"/>
              <w:rPr>
                <w:rFonts w:ascii="宋体" w:hAnsi="宋体" w:cs="宋体"/>
                <w:sz w:val="21"/>
                <w:szCs w:val="21"/>
              </w:rPr>
            </w:pPr>
            <w:r>
              <w:rPr>
                <w:rFonts w:hint="eastAsia" w:ascii="宋体" w:hAnsi="宋体" w:cs="宋体"/>
                <w:sz w:val="21"/>
                <w:szCs w:val="21"/>
              </w:rPr>
              <w:t>三级</w:t>
            </w:r>
          </w:p>
        </w:tc>
      </w:tr>
      <w:tr w14:paraId="7E8A4765">
        <w:tblPrEx>
          <w:tblCellMar>
            <w:top w:w="15" w:type="dxa"/>
            <w:left w:w="15" w:type="dxa"/>
            <w:bottom w:w="15" w:type="dxa"/>
            <w:right w:w="15"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48" w:type="dxa"/>
              <w:left w:w="96" w:type="dxa"/>
              <w:bottom w:w="48" w:type="dxa"/>
              <w:right w:w="96" w:type="dxa"/>
            </w:tcMar>
            <w:vAlign w:val="center"/>
          </w:tcPr>
          <w:p w14:paraId="0FD48414">
            <w:pPr>
              <w:pStyle w:val="7"/>
              <w:widowControl/>
              <w:spacing w:beforeAutospacing="0" w:afterAutospacing="0" w:line="360" w:lineRule="auto"/>
              <w:jc w:val="center"/>
              <w:rPr>
                <w:rFonts w:ascii="宋体" w:hAnsi="宋体" w:cs="宋体"/>
                <w:sz w:val="21"/>
                <w:szCs w:val="21"/>
              </w:rPr>
            </w:pPr>
            <w:r>
              <w:rPr>
                <w:rFonts w:hint="eastAsia" w:ascii="宋体" w:hAnsi="宋体" w:cs="宋体"/>
                <w:sz w:val="21"/>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48" w:type="dxa"/>
              <w:left w:w="96" w:type="dxa"/>
              <w:bottom w:w="48" w:type="dxa"/>
              <w:right w:w="96" w:type="dxa"/>
            </w:tcMar>
            <w:vAlign w:val="center"/>
          </w:tcPr>
          <w:p w14:paraId="01D59A66">
            <w:pPr>
              <w:pStyle w:val="7"/>
              <w:widowControl/>
              <w:spacing w:beforeAutospacing="0" w:afterAutospacing="0" w:line="360" w:lineRule="auto"/>
              <w:jc w:val="center"/>
              <w:rPr>
                <w:rFonts w:ascii="宋体" w:hAnsi="宋体" w:cs="宋体"/>
                <w:sz w:val="21"/>
                <w:szCs w:val="21"/>
              </w:rPr>
            </w:pPr>
            <w:r>
              <w:rPr>
                <w:rFonts w:hint="eastAsia" w:ascii="宋体" w:hAnsi="宋体" w:cs="宋体"/>
                <w:sz w:val="21"/>
                <w:szCs w:val="21"/>
              </w:rPr>
              <w:t xml:space="preserve">人大司法监督联网系统 </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48" w:type="dxa"/>
              <w:left w:w="96" w:type="dxa"/>
              <w:bottom w:w="48" w:type="dxa"/>
              <w:right w:w="96" w:type="dxa"/>
            </w:tcMar>
            <w:vAlign w:val="center"/>
          </w:tcPr>
          <w:p w14:paraId="2AC33564">
            <w:pPr>
              <w:pStyle w:val="7"/>
              <w:widowControl/>
              <w:spacing w:beforeAutospacing="0" w:afterAutospacing="0" w:line="360" w:lineRule="auto"/>
              <w:jc w:val="center"/>
              <w:rPr>
                <w:rFonts w:ascii="宋体" w:hAnsi="宋体" w:cs="宋体"/>
                <w:sz w:val="21"/>
                <w:szCs w:val="21"/>
              </w:rPr>
            </w:pPr>
            <w:r>
              <w:rPr>
                <w:rFonts w:hint="eastAsia" w:ascii="宋体" w:hAnsi="宋体" w:cs="宋体"/>
                <w:sz w:val="21"/>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48" w:type="dxa"/>
              <w:left w:w="96" w:type="dxa"/>
              <w:bottom w:w="48" w:type="dxa"/>
              <w:right w:w="96" w:type="dxa"/>
            </w:tcMar>
            <w:vAlign w:val="center"/>
          </w:tcPr>
          <w:p w14:paraId="7AC9437D">
            <w:pPr>
              <w:pStyle w:val="7"/>
              <w:widowControl/>
              <w:spacing w:beforeAutospacing="0" w:afterAutospacing="0" w:line="360" w:lineRule="auto"/>
              <w:jc w:val="center"/>
              <w:rPr>
                <w:rFonts w:ascii="宋体" w:hAnsi="宋体" w:cs="宋体"/>
                <w:sz w:val="21"/>
                <w:szCs w:val="21"/>
              </w:rPr>
            </w:pPr>
            <w:r>
              <w:rPr>
                <w:rFonts w:hint="eastAsia" w:ascii="宋体" w:hAnsi="宋体" w:cs="宋体"/>
                <w:sz w:val="21"/>
                <w:szCs w:val="21"/>
              </w:rPr>
              <w:t>二级</w:t>
            </w:r>
          </w:p>
        </w:tc>
      </w:tr>
      <w:tr w14:paraId="296BD568">
        <w:tblPrEx>
          <w:tblCellMar>
            <w:top w:w="15" w:type="dxa"/>
            <w:left w:w="15" w:type="dxa"/>
            <w:bottom w:w="15" w:type="dxa"/>
            <w:right w:w="15" w:type="dxa"/>
          </w:tblCellMar>
        </w:tblPrEx>
        <w:trPr>
          <w:trHeight w:val="5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48" w:type="dxa"/>
              <w:left w:w="96" w:type="dxa"/>
              <w:bottom w:w="48" w:type="dxa"/>
              <w:right w:w="96" w:type="dxa"/>
            </w:tcMar>
            <w:vAlign w:val="center"/>
          </w:tcPr>
          <w:p w14:paraId="473C26B9">
            <w:pPr>
              <w:pStyle w:val="7"/>
              <w:widowControl/>
              <w:spacing w:beforeAutospacing="0" w:afterAutospacing="0" w:line="360" w:lineRule="auto"/>
              <w:jc w:val="center"/>
              <w:rPr>
                <w:rFonts w:ascii="宋体" w:hAnsi="宋体" w:cs="宋体"/>
                <w:sz w:val="21"/>
                <w:szCs w:val="21"/>
              </w:rPr>
            </w:pPr>
            <w:r>
              <w:rPr>
                <w:rFonts w:hint="eastAsia" w:ascii="宋体" w:hAnsi="宋体" w:cs="宋体"/>
                <w:sz w:val="21"/>
                <w:szCs w:val="21"/>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48" w:type="dxa"/>
              <w:left w:w="96" w:type="dxa"/>
              <w:bottom w:w="48" w:type="dxa"/>
              <w:right w:w="96" w:type="dxa"/>
            </w:tcMar>
            <w:vAlign w:val="center"/>
          </w:tcPr>
          <w:p w14:paraId="26BB801C">
            <w:pPr>
              <w:pStyle w:val="7"/>
              <w:widowControl/>
              <w:spacing w:beforeAutospacing="0" w:afterAutospacing="0" w:line="360" w:lineRule="auto"/>
              <w:jc w:val="center"/>
              <w:rPr>
                <w:rFonts w:ascii="宋体" w:hAnsi="宋体" w:cs="宋体"/>
                <w:sz w:val="21"/>
                <w:szCs w:val="21"/>
              </w:rPr>
            </w:pPr>
            <w:r>
              <w:rPr>
                <w:rFonts w:hint="eastAsia" w:ascii="宋体" w:hAnsi="宋体" w:cs="宋体"/>
                <w:sz w:val="21"/>
                <w:szCs w:val="21"/>
              </w:rPr>
              <w:t xml:space="preserve">人大预算联网监督管理系统 </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48" w:type="dxa"/>
              <w:left w:w="96" w:type="dxa"/>
              <w:bottom w:w="48" w:type="dxa"/>
              <w:right w:w="96" w:type="dxa"/>
            </w:tcMar>
            <w:vAlign w:val="center"/>
          </w:tcPr>
          <w:p w14:paraId="5BFEB328">
            <w:pPr>
              <w:pStyle w:val="7"/>
              <w:widowControl/>
              <w:spacing w:beforeAutospacing="0" w:afterAutospacing="0" w:line="360" w:lineRule="auto"/>
              <w:jc w:val="center"/>
              <w:rPr>
                <w:rFonts w:ascii="宋体" w:hAnsi="宋体" w:cs="宋体"/>
                <w:sz w:val="21"/>
                <w:szCs w:val="21"/>
              </w:rPr>
            </w:pPr>
            <w:r>
              <w:rPr>
                <w:rFonts w:hint="eastAsia" w:ascii="宋体" w:hAnsi="宋体" w:cs="宋体"/>
                <w:sz w:val="21"/>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48" w:type="dxa"/>
              <w:left w:w="96" w:type="dxa"/>
              <w:bottom w:w="48" w:type="dxa"/>
              <w:right w:w="96" w:type="dxa"/>
            </w:tcMar>
            <w:vAlign w:val="center"/>
          </w:tcPr>
          <w:p w14:paraId="36035871">
            <w:pPr>
              <w:pStyle w:val="7"/>
              <w:widowControl/>
              <w:spacing w:beforeAutospacing="0" w:afterAutospacing="0" w:line="360" w:lineRule="auto"/>
              <w:jc w:val="center"/>
              <w:rPr>
                <w:rFonts w:ascii="宋体" w:hAnsi="宋体" w:cs="宋体"/>
                <w:sz w:val="21"/>
                <w:szCs w:val="21"/>
              </w:rPr>
            </w:pPr>
            <w:r>
              <w:rPr>
                <w:rFonts w:hint="eastAsia" w:ascii="宋体" w:hAnsi="宋体" w:cs="宋体"/>
                <w:sz w:val="21"/>
                <w:szCs w:val="21"/>
              </w:rPr>
              <w:t>二级</w:t>
            </w:r>
          </w:p>
        </w:tc>
      </w:tr>
    </w:tbl>
    <w:p w14:paraId="13012AFB">
      <w:pPr>
        <w:spacing w:line="360" w:lineRule="auto"/>
        <w:ind w:firstLine="420" w:firstLineChars="200"/>
        <w:rPr>
          <w:rFonts w:ascii="宋体" w:hAnsi="宋体" w:cs="宋体"/>
          <w:bCs/>
          <w:szCs w:val="21"/>
        </w:rPr>
      </w:pPr>
      <w:r>
        <w:rPr>
          <w:rFonts w:hint="eastAsia" w:ascii="宋体" w:hAnsi="宋体" w:cs="宋体"/>
          <w:bCs/>
          <w:szCs w:val="21"/>
        </w:rPr>
        <w:t>（二）测评内容</w:t>
      </w:r>
    </w:p>
    <w:p w14:paraId="65F16195">
      <w:pPr>
        <w:spacing w:line="360" w:lineRule="auto"/>
        <w:ind w:firstLine="420" w:firstLineChars="200"/>
        <w:rPr>
          <w:rFonts w:ascii="宋体" w:hAnsi="宋体" w:cs="宋体"/>
          <w:bCs/>
          <w:szCs w:val="21"/>
        </w:rPr>
      </w:pPr>
      <w:r>
        <w:rPr>
          <w:rFonts w:hint="eastAsia" w:ascii="宋体" w:hAnsi="宋体" w:cs="宋体"/>
          <w:bCs/>
          <w:szCs w:val="21"/>
        </w:rPr>
        <w:t>（1）总体要求</w:t>
      </w:r>
    </w:p>
    <w:p w14:paraId="7A1733CF">
      <w:pPr>
        <w:spacing w:line="360" w:lineRule="auto"/>
        <w:ind w:firstLine="420" w:firstLineChars="200"/>
        <w:rPr>
          <w:rFonts w:ascii="宋体" w:hAnsi="宋体" w:cs="宋体"/>
          <w:bCs/>
          <w:szCs w:val="21"/>
        </w:rPr>
      </w:pPr>
      <w:r>
        <w:rPr>
          <w:rFonts w:hint="eastAsia" w:ascii="宋体" w:hAnsi="宋体" w:cs="宋体"/>
          <w:bCs/>
          <w:szCs w:val="21"/>
        </w:rPr>
        <w:t>A.完成上述系统安全等级测评工作，测评后经用采购人确认，出具符合网络安全等级保护测评要求的测评报告；</w:t>
      </w:r>
    </w:p>
    <w:p w14:paraId="6F6DF826">
      <w:pPr>
        <w:spacing w:line="360" w:lineRule="auto"/>
        <w:ind w:firstLine="420" w:firstLineChars="200"/>
        <w:rPr>
          <w:rFonts w:ascii="宋体" w:hAnsi="宋体" w:cs="宋体"/>
          <w:bCs/>
          <w:szCs w:val="21"/>
        </w:rPr>
      </w:pPr>
      <w:r>
        <w:rPr>
          <w:rFonts w:hint="eastAsia" w:ascii="宋体" w:hAnsi="宋体" w:cs="宋体"/>
          <w:bCs/>
          <w:szCs w:val="21"/>
        </w:rPr>
        <w:t>B.对上述系统不符合网络安全等级保护有关管理规范和技术标准的，提出可行性整改方案，提供相应的安全整改建议书。</w:t>
      </w:r>
    </w:p>
    <w:p w14:paraId="375F0726">
      <w:pPr>
        <w:spacing w:line="360" w:lineRule="auto"/>
        <w:ind w:firstLine="420" w:firstLineChars="200"/>
        <w:rPr>
          <w:rFonts w:ascii="宋体" w:hAnsi="宋体" w:cs="宋体"/>
          <w:bCs/>
          <w:szCs w:val="21"/>
        </w:rPr>
      </w:pPr>
      <w:r>
        <w:rPr>
          <w:rFonts w:hint="eastAsia" w:ascii="宋体" w:hAnsi="宋体" w:cs="宋体"/>
          <w:bCs/>
          <w:szCs w:val="21"/>
        </w:rPr>
        <w:t>（2）质量要求</w:t>
      </w:r>
    </w:p>
    <w:p w14:paraId="4BF95758">
      <w:pPr>
        <w:spacing w:line="360" w:lineRule="auto"/>
        <w:ind w:firstLine="420" w:firstLineChars="200"/>
        <w:rPr>
          <w:rFonts w:ascii="宋体" w:hAnsi="宋体" w:cs="宋体"/>
          <w:bCs/>
          <w:szCs w:val="21"/>
        </w:rPr>
      </w:pPr>
      <w:r>
        <w:rPr>
          <w:rFonts w:hint="eastAsia" w:ascii="宋体" w:hAnsi="宋体" w:cs="宋体"/>
          <w:bCs/>
          <w:szCs w:val="21"/>
        </w:rPr>
        <w:t>A.等级测评及服务原则：符合性原则、标准性原则、规范性原则、可控性原则、整体性原则。</w:t>
      </w:r>
    </w:p>
    <w:p w14:paraId="544B2DB1">
      <w:pPr>
        <w:spacing w:line="360" w:lineRule="auto"/>
        <w:ind w:firstLine="420" w:firstLineChars="200"/>
        <w:rPr>
          <w:rFonts w:ascii="宋体" w:hAnsi="宋体" w:cs="宋体"/>
          <w:bCs/>
          <w:szCs w:val="21"/>
        </w:rPr>
      </w:pPr>
      <w:r>
        <w:rPr>
          <w:rFonts w:hint="eastAsia" w:ascii="宋体" w:hAnsi="宋体" w:cs="宋体"/>
          <w:bCs/>
          <w:szCs w:val="21"/>
        </w:rPr>
        <w:t>B.网络安全等级保护定级及测评服务依据：</w:t>
      </w:r>
    </w:p>
    <w:p w14:paraId="084EB8DE">
      <w:pPr>
        <w:spacing w:line="360" w:lineRule="auto"/>
        <w:ind w:firstLine="420" w:firstLineChars="200"/>
        <w:rPr>
          <w:rFonts w:ascii="宋体" w:hAnsi="宋体" w:cs="宋体"/>
          <w:bCs/>
          <w:szCs w:val="21"/>
        </w:rPr>
      </w:pPr>
      <w:r>
        <w:rPr>
          <w:rFonts w:hint="eastAsia" w:ascii="宋体" w:hAnsi="宋体" w:cs="宋体"/>
          <w:bCs/>
          <w:szCs w:val="21"/>
        </w:rPr>
        <w:t>《中华人民共和国网络安全法》</w:t>
      </w:r>
    </w:p>
    <w:p w14:paraId="49FC3934">
      <w:pPr>
        <w:spacing w:line="360" w:lineRule="auto"/>
        <w:ind w:firstLine="420" w:firstLineChars="200"/>
        <w:rPr>
          <w:rFonts w:ascii="宋体" w:hAnsi="宋体" w:cs="宋体"/>
          <w:bCs/>
          <w:szCs w:val="21"/>
        </w:rPr>
      </w:pPr>
      <w:r>
        <w:rPr>
          <w:rFonts w:hint="eastAsia" w:ascii="宋体" w:hAnsi="宋体" w:cs="宋体"/>
          <w:bCs/>
          <w:szCs w:val="21"/>
        </w:rPr>
        <w:t>《GB/T22239-2019信息安全技术网络安全等级保护基本要求》</w:t>
      </w:r>
    </w:p>
    <w:p w14:paraId="6BA528AB">
      <w:pPr>
        <w:spacing w:line="360" w:lineRule="auto"/>
        <w:ind w:firstLine="420" w:firstLineChars="200"/>
        <w:rPr>
          <w:rFonts w:ascii="宋体" w:hAnsi="宋体" w:cs="宋体"/>
          <w:bCs/>
          <w:szCs w:val="21"/>
        </w:rPr>
      </w:pPr>
      <w:r>
        <w:rPr>
          <w:rFonts w:hint="eastAsia" w:ascii="宋体" w:hAnsi="宋体" w:cs="宋体"/>
          <w:bCs/>
          <w:szCs w:val="21"/>
        </w:rPr>
        <w:t>《GB/T28448-2019信息安全技术网络安全等级保护测评要求》</w:t>
      </w:r>
    </w:p>
    <w:p w14:paraId="5DA3F576">
      <w:pPr>
        <w:spacing w:line="360" w:lineRule="auto"/>
        <w:ind w:firstLine="420" w:firstLineChars="200"/>
        <w:rPr>
          <w:rFonts w:ascii="宋体" w:hAnsi="宋体" w:cs="宋体"/>
          <w:bCs/>
          <w:szCs w:val="21"/>
        </w:rPr>
      </w:pPr>
      <w:r>
        <w:rPr>
          <w:rFonts w:hint="eastAsia" w:ascii="宋体" w:hAnsi="宋体" w:cs="宋体"/>
          <w:bCs/>
          <w:szCs w:val="21"/>
        </w:rPr>
        <w:t>《GB/T28449-2018信息安全技术网络安全等级保护测评过程指南》</w:t>
      </w:r>
    </w:p>
    <w:p w14:paraId="70010845">
      <w:pPr>
        <w:spacing w:line="360" w:lineRule="auto"/>
        <w:ind w:firstLine="420" w:firstLineChars="200"/>
        <w:rPr>
          <w:rFonts w:ascii="宋体" w:hAnsi="宋体" w:cs="宋体"/>
          <w:bCs/>
          <w:szCs w:val="21"/>
        </w:rPr>
      </w:pPr>
      <w:r>
        <w:rPr>
          <w:rFonts w:hint="eastAsia" w:ascii="宋体" w:hAnsi="宋体" w:cs="宋体"/>
          <w:bCs/>
          <w:szCs w:val="21"/>
        </w:rPr>
        <w:t>《GB/T25058-2019信息安全技术网络安全等级保护实施指南》</w:t>
      </w:r>
    </w:p>
    <w:p w14:paraId="3F6B9762">
      <w:pPr>
        <w:spacing w:line="360" w:lineRule="auto"/>
        <w:ind w:firstLine="420" w:firstLineChars="200"/>
        <w:rPr>
          <w:rFonts w:ascii="宋体" w:hAnsi="宋体" w:cs="宋体"/>
          <w:bCs/>
          <w:szCs w:val="21"/>
        </w:rPr>
      </w:pPr>
      <w:r>
        <w:rPr>
          <w:rFonts w:hint="eastAsia" w:ascii="宋体" w:hAnsi="宋体" w:cs="宋体"/>
          <w:bCs/>
          <w:szCs w:val="21"/>
        </w:rPr>
        <w:t>（3）网络安全等级保护测评内容：</w:t>
      </w:r>
    </w:p>
    <w:p w14:paraId="5F4509E4">
      <w:pPr>
        <w:spacing w:line="360" w:lineRule="auto"/>
        <w:ind w:firstLine="420" w:firstLineChars="200"/>
        <w:rPr>
          <w:rFonts w:ascii="宋体" w:hAnsi="宋体" w:cs="宋体"/>
          <w:bCs/>
          <w:szCs w:val="21"/>
        </w:rPr>
      </w:pPr>
      <w:r>
        <w:rPr>
          <w:rFonts w:hint="eastAsia" w:ascii="宋体" w:hAnsi="宋体" w:cs="宋体"/>
          <w:bCs/>
          <w:szCs w:val="21"/>
        </w:rPr>
        <w:t>A．安全技术测评：包括安全物理环境、安全区域边界、安全通信网络、安全计算环境和安全管理中心五个方面的安全测评；</w:t>
      </w:r>
    </w:p>
    <w:p w14:paraId="56F6D2DC">
      <w:pPr>
        <w:spacing w:line="360" w:lineRule="auto"/>
        <w:ind w:firstLine="420" w:firstLineChars="200"/>
        <w:rPr>
          <w:rFonts w:ascii="宋体" w:hAnsi="宋体" w:cs="宋体"/>
          <w:bCs/>
          <w:szCs w:val="21"/>
        </w:rPr>
      </w:pPr>
      <w:r>
        <w:rPr>
          <w:rFonts w:hint="eastAsia" w:ascii="宋体" w:hAnsi="宋体" w:cs="宋体"/>
          <w:bCs/>
          <w:szCs w:val="21"/>
        </w:rPr>
        <w:t>B．安全管理测评：安全管理机构、安全管理制度、安全管理人员、安全建设管理和安全运维管理五个方面的安全控制测评</w:t>
      </w:r>
    </w:p>
    <w:p w14:paraId="30CB7058">
      <w:pPr>
        <w:spacing w:line="360" w:lineRule="auto"/>
        <w:ind w:firstLine="420" w:firstLineChars="200"/>
        <w:rPr>
          <w:rFonts w:ascii="宋体" w:hAnsi="宋体" w:cs="宋体"/>
          <w:bCs/>
          <w:szCs w:val="21"/>
        </w:rPr>
      </w:pPr>
      <w:r>
        <w:rPr>
          <w:rFonts w:hint="eastAsia" w:ascii="宋体" w:hAnsi="宋体" w:cs="宋体"/>
          <w:bCs/>
          <w:szCs w:val="21"/>
        </w:rPr>
        <w:t>（4）提供整改咨询服务，根据所测系统的最终测评报告，对系统现状提出安全整改建议并协助整改工作，以期达到整改目的。</w:t>
      </w:r>
    </w:p>
    <w:p w14:paraId="1C80B5FB">
      <w:pPr>
        <w:spacing w:line="360" w:lineRule="auto"/>
        <w:ind w:firstLine="420" w:firstLineChars="200"/>
        <w:rPr>
          <w:rFonts w:ascii="宋体" w:hAnsi="宋体" w:cs="宋体"/>
          <w:bCs/>
          <w:szCs w:val="21"/>
        </w:rPr>
      </w:pPr>
      <w:r>
        <w:rPr>
          <w:rFonts w:hint="eastAsia" w:ascii="宋体" w:hAnsi="宋体" w:cs="宋体"/>
          <w:bCs/>
          <w:szCs w:val="21"/>
        </w:rPr>
        <w:t>（三）测评人员和时限要求</w:t>
      </w:r>
    </w:p>
    <w:p w14:paraId="3E1E7AA6">
      <w:pPr>
        <w:spacing w:line="360" w:lineRule="auto"/>
        <w:ind w:firstLine="420" w:firstLineChars="200"/>
        <w:rPr>
          <w:rFonts w:ascii="宋体" w:hAnsi="宋体" w:cs="宋体"/>
          <w:bCs/>
          <w:szCs w:val="21"/>
        </w:rPr>
      </w:pPr>
      <w:r>
        <w:rPr>
          <w:rFonts w:hint="eastAsia" w:ascii="宋体" w:hAnsi="宋体" w:cs="宋体"/>
          <w:bCs/>
          <w:szCs w:val="21"/>
        </w:rPr>
        <w:t>（1）测评人员要求：本次测评至少需要1名高级测评师，1名中级测评师，2名初级测评师。</w:t>
      </w:r>
    </w:p>
    <w:p w14:paraId="6E7ACEF3">
      <w:pPr>
        <w:spacing w:line="360" w:lineRule="auto"/>
        <w:ind w:firstLine="420" w:firstLineChars="200"/>
        <w:rPr>
          <w:rFonts w:ascii="宋体" w:hAnsi="宋体" w:cs="宋体"/>
          <w:bCs/>
          <w:szCs w:val="21"/>
        </w:rPr>
      </w:pPr>
      <w:r>
        <w:rPr>
          <w:rFonts w:hint="eastAsia" w:ascii="宋体" w:hAnsi="宋体" w:cs="宋体"/>
          <w:bCs/>
          <w:szCs w:val="21"/>
        </w:rPr>
        <w:t>（2）测评时间要求：按照被测单位要求，合同签订完毕一周内启动测评工作。</w:t>
      </w:r>
    </w:p>
    <w:p w14:paraId="223B377B">
      <w:pPr>
        <w:spacing w:line="360" w:lineRule="auto"/>
        <w:ind w:firstLine="420" w:firstLineChars="200"/>
        <w:rPr>
          <w:rFonts w:ascii="宋体" w:hAnsi="宋体" w:cs="宋体"/>
          <w:bCs/>
          <w:szCs w:val="21"/>
        </w:rPr>
      </w:pPr>
      <w:r>
        <w:rPr>
          <w:rFonts w:hint="eastAsia" w:ascii="宋体" w:hAnsi="宋体" w:cs="宋体"/>
          <w:bCs/>
          <w:szCs w:val="21"/>
        </w:rPr>
        <w:t>（3）测评期限要求：签订合同后60天内完成网络安全等级保护测评并出具盖章报告。</w:t>
      </w:r>
    </w:p>
    <w:p w14:paraId="5C3009DC">
      <w:pPr>
        <w:spacing w:line="360" w:lineRule="auto"/>
        <w:ind w:firstLine="420" w:firstLineChars="200"/>
        <w:rPr>
          <w:rFonts w:ascii="宋体" w:hAnsi="宋体" w:cs="宋体"/>
          <w:bCs/>
          <w:szCs w:val="21"/>
        </w:rPr>
      </w:pPr>
      <w:r>
        <w:rPr>
          <w:rFonts w:hint="eastAsia" w:ascii="宋体" w:hAnsi="宋体" w:cs="宋体"/>
          <w:bCs/>
          <w:szCs w:val="21"/>
        </w:rPr>
        <w:t>（四）服务地点</w:t>
      </w:r>
    </w:p>
    <w:p w14:paraId="27F11DEB">
      <w:pPr>
        <w:spacing w:line="360" w:lineRule="auto"/>
        <w:ind w:firstLine="420" w:firstLineChars="200"/>
        <w:rPr>
          <w:rFonts w:ascii="宋体" w:hAnsi="宋体" w:cs="宋体"/>
          <w:bCs/>
          <w:szCs w:val="21"/>
        </w:rPr>
      </w:pPr>
      <w:r>
        <w:rPr>
          <w:rFonts w:hint="eastAsia" w:ascii="宋体" w:hAnsi="宋体" w:cs="宋体"/>
          <w:bCs/>
          <w:szCs w:val="21"/>
        </w:rPr>
        <w:t>采购方指定地点。</w:t>
      </w:r>
    </w:p>
    <w:p w14:paraId="0A021849">
      <w:pPr>
        <w:spacing w:line="360" w:lineRule="auto"/>
        <w:ind w:firstLine="422" w:firstLineChars="200"/>
        <w:rPr>
          <w:rFonts w:ascii="宋体" w:hAnsi="宋体" w:cs="宋体"/>
          <w:b/>
          <w:szCs w:val="21"/>
        </w:rPr>
      </w:pPr>
      <w:r>
        <w:rPr>
          <w:rFonts w:hint="eastAsia" w:ascii="宋体" w:hAnsi="宋体" w:cs="宋体"/>
          <w:b/>
          <w:szCs w:val="21"/>
        </w:rPr>
        <w:t>3.商用密码应用安全性评估服务</w:t>
      </w:r>
    </w:p>
    <w:p w14:paraId="54339D9B">
      <w:pPr>
        <w:spacing w:line="360" w:lineRule="auto"/>
        <w:ind w:firstLine="420" w:firstLineChars="200"/>
        <w:rPr>
          <w:rFonts w:ascii="宋体" w:hAnsi="宋体" w:cs="宋体"/>
          <w:bCs/>
          <w:szCs w:val="21"/>
        </w:rPr>
      </w:pPr>
      <w:r>
        <w:rPr>
          <w:rFonts w:hint="eastAsia" w:ascii="宋体" w:hAnsi="宋体" w:cs="宋体"/>
          <w:bCs/>
          <w:szCs w:val="21"/>
        </w:rPr>
        <w:t>（一）服务范围</w:t>
      </w:r>
    </w:p>
    <w:p w14:paraId="1194730F">
      <w:pPr>
        <w:spacing w:line="360" w:lineRule="auto"/>
        <w:ind w:firstLine="420" w:firstLineChars="200"/>
        <w:rPr>
          <w:rFonts w:ascii="宋体" w:hAnsi="宋体" w:cs="宋体"/>
          <w:bCs/>
          <w:szCs w:val="21"/>
        </w:rPr>
      </w:pPr>
      <w:r>
        <w:rPr>
          <w:rFonts w:hint="eastAsia" w:ascii="宋体" w:hAnsi="宋体" w:cs="宋体"/>
          <w:bCs/>
          <w:szCs w:val="21"/>
        </w:rPr>
        <w:t>为数字人大系统（三级）提供商用密码应用安全性评估服务，并出具测评报告。 </w:t>
      </w:r>
    </w:p>
    <w:p w14:paraId="4E40F95C">
      <w:pPr>
        <w:spacing w:line="360" w:lineRule="auto"/>
        <w:ind w:firstLine="420" w:firstLineChars="200"/>
        <w:rPr>
          <w:rFonts w:ascii="宋体" w:hAnsi="宋体" w:cs="宋体"/>
          <w:bCs/>
          <w:szCs w:val="21"/>
        </w:rPr>
      </w:pPr>
      <w:r>
        <w:rPr>
          <w:rFonts w:hint="eastAsia" w:ascii="宋体" w:hAnsi="宋体" w:cs="宋体"/>
          <w:bCs/>
          <w:szCs w:val="21"/>
        </w:rPr>
        <w:t>商用密码应用安全性评估服务从《信息安全技术信息系统密码应用基本要求》（GM/T39786-2021）中选择相应等级的评估指标，结合信息系统的构成特点，确定具体的评估对象，制定评估方案，通过访谈、检查和测试等方式判断其安全技术和安全管理各层面所对应评估指标的符合程度，判断被评估系统在密码应用设计和落地方面是否满足符合国家信息系统商用密码应用安全中的合规性、正确性、有效性要求，找出与国家标准要求之间的差距，根据评估结果出具商用密码应用安全性评估报告，作为后续安全整改的依据，帮助其达到信息系统商用密码应用安全的要求。</w:t>
      </w:r>
    </w:p>
    <w:p w14:paraId="6D39BEC9">
      <w:pPr>
        <w:spacing w:line="360" w:lineRule="auto"/>
        <w:ind w:firstLine="420" w:firstLineChars="200"/>
        <w:rPr>
          <w:rFonts w:ascii="宋体" w:hAnsi="宋体" w:cs="宋体"/>
          <w:bCs/>
          <w:szCs w:val="21"/>
        </w:rPr>
      </w:pPr>
      <w:r>
        <w:rPr>
          <w:rFonts w:hint="eastAsia" w:ascii="宋体" w:hAnsi="宋体" w:cs="宋体"/>
          <w:bCs/>
          <w:szCs w:val="21"/>
        </w:rPr>
        <w:t>（二）测评服务单位及人员要求</w:t>
      </w:r>
    </w:p>
    <w:p w14:paraId="5D081257">
      <w:pPr>
        <w:spacing w:line="360" w:lineRule="auto"/>
        <w:ind w:firstLine="420" w:firstLineChars="200"/>
        <w:rPr>
          <w:rFonts w:ascii="宋体" w:hAnsi="宋体" w:cs="宋体"/>
          <w:bCs/>
          <w:szCs w:val="21"/>
        </w:rPr>
      </w:pPr>
      <w:r>
        <w:rPr>
          <w:rFonts w:hint="eastAsia" w:ascii="宋体" w:hAnsi="宋体" w:cs="宋体"/>
          <w:bCs/>
          <w:szCs w:val="21"/>
        </w:rPr>
        <w:t>（1）测评服务单位要求</w:t>
      </w:r>
    </w:p>
    <w:p w14:paraId="71CBF5A3">
      <w:pPr>
        <w:spacing w:line="360" w:lineRule="auto"/>
        <w:ind w:firstLine="420" w:firstLineChars="200"/>
        <w:rPr>
          <w:rFonts w:ascii="宋体" w:hAnsi="宋体" w:cs="宋体"/>
          <w:bCs/>
          <w:szCs w:val="21"/>
        </w:rPr>
      </w:pPr>
      <w:r>
        <w:rPr>
          <w:rFonts w:hint="eastAsia" w:ascii="宋体" w:hAnsi="宋体" w:cs="宋体"/>
          <w:bCs/>
          <w:szCs w:val="21"/>
        </w:rPr>
        <w:t>测评服务单位在测评过程中，需严格遵循保密原则，对服务过程中涉及到的任何用户信息未经允许不向其他任何第三方泄漏，以及不得利用这些信息损害采购人利益。</w:t>
      </w:r>
    </w:p>
    <w:p w14:paraId="32FA9C3C">
      <w:pPr>
        <w:spacing w:line="360" w:lineRule="auto"/>
        <w:ind w:firstLine="420" w:firstLineChars="200"/>
        <w:rPr>
          <w:rFonts w:ascii="宋体" w:hAnsi="宋体" w:cs="宋体"/>
          <w:bCs/>
          <w:szCs w:val="21"/>
        </w:rPr>
      </w:pPr>
      <w:r>
        <w:rPr>
          <w:rFonts w:hint="eastAsia" w:ascii="宋体" w:hAnsi="宋体" w:cs="宋体"/>
          <w:bCs/>
          <w:szCs w:val="21"/>
        </w:rPr>
        <w:t>（2）人员要求</w:t>
      </w:r>
    </w:p>
    <w:p w14:paraId="0C4B9E1F">
      <w:pPr>
        <w:spacing w:line="360" w:lineRule="auto"/>
        <w:ind w:firstLine="420" w:firstLineChars="200"/>
        <w:rPr>
          <w:rFonts w:ascii="宋体" w:hAnsi="宋体" w:cs="宋体"/>
          <w:bCs/>
          <w:szCs w:val="21"/>
        </w:rPr>
      </w:pPr>
      <w:r>
        <w:rPr>
          <w:rFonts w:hint="eastAsia" w:ascii="宋体" w:hAnsi="宋体" w:cs="宋体"/>
          <w:bCs/>
          <w:szCs w:val="21"/>
        </w:rPr>
        <w:t>测评技术人员均具有商用密码应用安全性评估人员培训合格证书，测评技术人员不得少于3人。</w:t>
      </w:r>
    </w:p>
    <w:p w14:paraId="189AD002">
      <w:pPr>
        <w:spacing w:line="360" w:lineRule="auto"/>
        <w:ind w:firstLine="420" w:firstLineChars="200"/>
        <w:rPr>
          <w:rFonts w:ascii="宋体" w:hAnsi="宋体" w:cs="宋体"/>
          <w:bCs/>
          <w:szCs w:val="21"/>
        </w:rPr>
      </w:pPr>
      <w:r>
        <w:rPr>
          <w:rFonts w:hint="eastAsia" w:ascii="宋体" w:hAnsi="宋体" w:cs="宋体"/>
          <w:bCs/>
          <w:szCs w:val="21"/>
        </w:rPr>
        <w:t>（三）履约要求</w:t>
      </w:r>
    </w:p>
    <w:p w14:paraId="72B246C7">
      <w:pPr>
        <w:spacing w:line="360" w:lineRule="auto"/>
        <w:ind w:firstLine="420" w:firstLineChars="200"/>
        <w:rPr>
          <w:rFonts w:ascii="宋体" w:hAnsi="宋体" w:cs="宋体"/>
          <w:bCs/>
          <w:szCs w:val="21"/>
        </w:rPr>
      </w:pPr>
      <w:r>
        <w:rPr>
          <w:rFonts w:hint="eastAsia" w:ascii="宋体" w:hAnsi="宋体" w:cs="宋体"/>
          <w:bCs/>
          <w:szCs w:val="21"/>
        </w:rPr>
        <w:t>（1）合同履行期限：合同签订后，接收到采购人要求进场开展测评服务之日起40天内(不含密码安全整改时间)完成项目测评实施服务，出具《商用密码应用安全性评估报告》，并在江苏省密码管理局网站完成备案。</w:t>
      </w:r>
    </w:p>
    <w:p w14:paraId="5094D5F4">
      <w:pPr>
        <w:spacing w:line="360" w:lineRule="auto"/>
        <w:ind w:firstLine="420" w:firstLineChars="200"/>
        <w:rPr>
          <w:rFonts w:ascii="宋体" w:hAnsi="宋体" w:cs="宋体"/>
          <w:bCs/>
          <w:szCs w:val="21"/>
        </w:rPr>
      </w:pPr>
      <w:r>
        <w:rPr>
          <w:rFonts w:hint="eastAsia" w:ascii="宋体" w:hAnsi="宋体" w:cs="宋体"/>
          <w:bCs/>
          <w:szCs w:val="21"/>
        </w:rPr>
        <w:t>（2）服务地点：采购人指定地点。</w:t>
      </w:r>
    </w:p>
    <w:p w14:paraId="65A76A75">
      <w:pPr>
        <w:spacing w:line="360" w:lineRule="auto"/>
        <w:ind w:firstLine="420" w:firstLineChars="200"/>
        <w:rPr>
          <w:rFonts w:ascii="宋体" w:hAnsi="宋体" w:cs="宋体"/>
          <w:bCs/>
          <w:szCs w:val="21"/>
        </w:rPr>
      </w:pPr>
      <w:r>
        <w:rPr>
          <w:rFonts w:hint="eastAsia" w:ascii="宋体" w:hAnsi="宋体" w:cs="宋体"/>
          <w:bCs/>
          <w:szCs w:val="21"/>
        </w:rPr>
        <w:t>（3）验收方式：出具《数字人大系统（三级）商用密码应用安全性评估报告》并协助采购人完成密评备案工作视为验收通过。</w:t>
      </w:r>
    </w:p>
    <w:p w14:paraId="6C23442D">
      <w:pPr>
        <w:snapToGrid w:val="0"/>
        <w:spacing w:line="360" w:lineRule="auto"/>
        <w:jc w:val="left"/>
        <w:rPr>
          <w:rFonts w:ascii="宋体" w:hAnsi="宋体" w:cs="宋体"/>
          <w:bCs/>
          <w:szCs w:val="21"/>
        </w:rPr>
      </w:pPr>
      <w:r>
        <w:rPr>
          <w:rFonts w:hint="eastAsia" w:ascii="宋体" w:hAnsi="宋体" w:cs="宋体"/>
          <w:b/>
          <w:bCs/>
          <w:szCs w:val="21"/>
        </w:rPr>
        <w:t>三、合同履行期限：</w:t>
      </w:r>
      <w:r>
        <w:rPr>
          <w:rFonts w:hint="eastAsia" w:ascii="宋体" w:hAnsi="宋体" w:cs="宋体"/>
          <w:bCs/>
          <w:szCs w:val="21"/>
        </w:rPr>
        <w:t>三年。</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2000"/>
        <w:gridCol w:w="5456"/>
      </w:tblGrid>
      <w:tr w14:paraId="3861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83" w:type="dxa"/>
            <w:vAlign w:val="center"/>
          </w:tcPr>
          <w:p w14:paraId="4405AE1F">
            <w:pPr>
              <w:spacing w:line="500" w:lineRule="exact"/>
              <w:jc w:val="center"/>
              <w:rPr>
                <w:rFonts w:ascii="宋体" w:hAnsi="宋体" w:cs="宋体"/>
                <w:b/>
                <w:bCs/>
                <w:szCs w:val="21"/>
              </w:rPr>
            </w:pPr>
            <w:r>
              <w:rPr>
                <w:rFonts w:hint="eastAsia" w:ascii="宋体" w:hAnsi="宋体" w:cs="宋体"/>
                <w:szCs w:val="21"/>
                <w:lang w:bidi="ar"/>
              </w:rPr>
              <w:t>时间</w:t>
            </w:r>
          </w:p>
        </w:tc>
        <w:tc>
          <w:tcPr>
            <w:tcW w:w="7702" w:type="dxa"/>
            <w:gridSpan w:val="2"/>
            <w:vAlign w:val="center"/>
          </w:tcPr>
          <w:p w14:paraId="1C1CCBDE">
            <w:pPr>
              <w:spacing w:line="500" w:lineRule="exact"/>
              <w:jc w:val="center"/>
              <w:rPr>
                <w:rFonts w:ascii="宋体" w:hAnsi="宋体" w:cs="宋体"/>
                <w:b/>
                <w:bCs/>
                <w:szCs w:val="21"/>
              </w:rPr>
            </w:pPr>
            <w:r>
              <w:rPr>
                <w:rFonts w:hint="eastAsia" w:ascii="宋体" w:hAnsi="宋体" w:cs="宋体"/>
                <w:szCs w:val="21"/>
                <w:lang w:bidi="ar"/>
              </w:rPr>
              <w:t>服务内容</w:t>
            </w:r>
          </w:p>
        </w:tc>
      </w:tr>
      <w:tr w14:paraId="5A07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83" w:type="dxa"/>
            <w:vMerge w:val="restart"/>
            <w:vAlign w:val="center"/>
          </w:tcPr>
          <w:p w14:paraId="43E7BD0B">
            <w:pPr>
              <w:spacing w:line="500" w:lineRule="exact"/>
              <w:jc w:val="center"/>
              <w:rPr>
                <w:rFonts w:ascii="宋体" w:hAnsi="宋体" w:cs="宋体"/>
                <w:b/>
                <w:bCs/>
                <w:szCs w:val="21"/>
              </w:rPr>
            </w:pPr>
            <w:r>
              <w:rPr>
                <w:rFonts w:hint="eastAsia" w:ascii="宋体" w:hAnsi="宋体" w:cs="宋体"/>
                <w:szCs w:val="21"/>
                <w:lang w:bidi="ar"/>
              </w:rPr>
              <w:t>2025</w:t>
            </w:r>
          </w:p>
        </w:tc>
        <w:tc>
          <w:tcPr>
            <w:tcW w:w="2057" w:type="dxa"/>
            <w:vAlign w:val="center"/>
          </w:tcPr>
          <w:p w14:paraId="74BDA5CF">
            <w:pPr>
              <w:spacing w:line="500" w:lineRule="exact"/>
              <w:jc w:val="center"/>
              <w:rPr>
                <w:rFonts w:ascii="宋体" w:hAnsi="宋体" w:cs="宋体"/>
                <w:b/>
                <w:bCs/>
                <w:szCs w:val="21"/>
              </w:rPr>
            </w:pPr>
            <w:r>
              <w:rPr>
                <w:rFonts w:hint="eastAsia" w:ascii="宋体" w:hAnsi="宋体" w:cs="宋体"/>
                <w:szCs w:val="21"/>
                <w:lang w:bidi="ar"/>
              </w:rPr>
              <w:t>运维费7月-12月</w:t>
            </w:r>
          </w:p>
        </w:tc>
        <w:tc>
          <w:tcPr>
            <w:tcW w:w="5645" w:type="dxa"/>
            <w:vAlign w:val="center"/>
          </w:tcPr>
          <w:p w14:paraId="73D8E22A">
            <w:pPr>
              <w:spacing w:line="500" w:lineRule="exact"/>
              <w:jc w:val="center"/>
              <w:rPr>
                <w:rFonts w:ascii="宋体" w:hAnsi="宋体" w:cs="宋体"/>
                <w:szCs w:val="21"/>
                <w:lang w:bidi="ar"/>
              </w:rPr>
            </w:pPr>
            <w:r>
              <w:rPr>
                <w:rFonts w:hint="eastAsia" w:ascii="宋体" w:hAnsi="宋体" w:cs="宋体"/>
                <w:szCs w:val="21"/>
                <w:lang w:bidi="ar"/>
              </w:rPr>
              <w:t>数字人大系统、司法监督平台</w:t>
            </w:r>
          </w:p>
        </w:tc>
      </w:tr>
      <w:tr w14:paraId="6870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83" w:type="dxa"/>
            <w:vMerge w:val="continue"/>
          </w:tcPr>
          <w:p w14:paraId="5A15FBB5">
            <w:pPr>
              <w:snapToGrid w:val="0"/>
              <w:spacing w:line="360" w:lineRule="auto"/>
              <w:rPr>
                <w:rFonts w:ascii="宋体" w:hAnsi="宋体" w:cs="宋体"/>
                <w:b/>
                <w:bCs/>
                <w:szCs w:val="21"/>
              </w:rPr>
            </w:pPr>
          </w:p>
        </w:tc>
        <w:tc>
          <w:tcPr>
            <w:tcW w:w="2057" w:type="dxa"/>
            <w:vMerge w:val="restart"/>
            <w:vAlign w:val="center"/>
          </w:tcPr>
          <w:p w14:paraId="57CC5263">
            <w:pPr>
              <w:spacing w:line="500" w:lineRule="exact"/>
              <w:jc w:val="center"/>
              <w:rPr>
                <w:rFonts w:ascii="宋体" w:hAnsi="宋体" w:cs="宋体"/>
                <w:b/>
                <w:bCs/>
                <w:szCs w:val="21"/>
              </w:rPr>
            </w:pPr>
            <w:r>
              <w:rPr>
                <w:rFonts w:hint="eastAsia" w:ascii="宋体" w:hAnsi="宋体" w:cs="宋体"/>
                <w:szCs w:val="21"/>
                <w:lang w:bidi="ar"/>
              </w:rPr>
              <w:t>等保测评</w:t>
            </w:r>
          </w:p>
        </w:tc>
        <w:tc>
          <w:tcPr>
            <w:tcW w:w="5645" w:type="dxa"/>
            <w:vAlign w:val="center"/>
          </w:tcPr>
          <w:p w14:paraId="40C02EE8">
            <w:pPr>
              <w:spacing w:line="500" w:lineRule="exact"/>
              <w:jc w:val="center"/>
              <w:rPr>
                <w:rFonts w:ascii="宋体" w:hAnsi="宋体" w:cs="宋体"/>
                <w:szCs w:val="21"/>
                <w:lang w:bidi="ar"/>
              </w:rPr>
            </w:pPr>
            <w:r>
              <w:rPr>
                <w:rFonts w:hint="eastAsia" w:ascii="宋体" w:hAnsi="宋体" w:cs="宋体"/>
                <w:szCs w:val="21"/>
                <w:lang w:bidi="ar"/>
              </w:rPr>
              <w:t>三级（数字人大系统）</w:t>
            </w:r>
          </w:p>
        </w:tc>
      </w:tr>
      <w:tr w14:paraId="1F5C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83" w:type="dxa"/>
            <w:vMerge w:val="continue"/>
          </w:tcPr>
          <w:p w14:paraId="4B6AAF24">
            <w:pPr>
              <w:snapToGrid w:val="0"/>
              <w:spacing w:line="360" w:lineRule="auto"/>
              <w:rPr>
                <w:rFonts w:ascii="宋体" w:hAnsi="宋体" w:cs="宋体"/>
                <w:b/>
                <w:bCs/>
                <w:szCs w:val="21"/>
              </w:rPr>
            </w:pPr>
          </w:p>
        </w:tc>
        <w:tc>
          <w:tcPr>
            <w:tcW w:w="2057" w:type="dxa"/>
            <w:vMerge w:val="continue"/>
          </w:tcPr>
          <w:p w14:paraId="59546CB1">
            <w:pPr>
              <w:snapToGrid w:val="0"/>
              <w:spacing w:line="360" w:lineRule="auto"/>
              <w:rPr>
                <w:rFonts w:ascii="宋体" w:hAnsi="宋体" w:cs="宋体"/>
                <w:b/>
                <w:bCs/>
                <w:szCs w:val="21"/>
              </w:rPr>
            </w:pPr>
          </w:p>
        </w:tc>
        <w:tc>
          <w:tcPr>
            <w:tcW w:w="5645" w:type="dxa"/>
            <w:vAlign w:val="center"/>
          </w:tcPr>
          <w:p w14:paraId="603DFE66">
            <w:pPr>
              <w:spacing w:line="500" w:lineRule="exact"/>
              <w:jc w:val="center"/>
              <w:rPr>
                <w:rFonts w:ascii="宋体" w:hAnsi="宋体" w:cs="宋体"/>
                <w:szCs w:val="21"/>
                <w:lang w:bidi="ar"/>
              </w:rPr>
            </w:pPr>
            <w:r>
              <w:rPr>
                <w:rFonts w:hint="eastAsia" w:ascii="宋体" w:hAnsi="宋体" w:cs="宋体"/>
                <w:szCs w:val="21"/>
                <w:lang w:bidi="ar"/>
              </w:rPr>
              <w:t>二级（司法监督平台）</w:t>
            </w:r>
          </w:p>
        </w:tc>
      </w:tr>
      <w:tr w14:paraId="358B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83" w:type="dxa"/>
            <w:vMerge w:val="continue"/>
          </w:tcPr>
          <w:p w14:paraId="7C59D854">
            <w:pPr>
              <w:snapToGrid w:val="0"/>
              <w:spacing w:line="360" w:lineRule="auto"/>
              <w:rPr>
                <w:rFonts w:ascii="宋体" w:hAnsi="宋体" w:cs="宋体"/>
                <w:b/>
                <w:bCs/>
                <w:szCs w:val="21"/>
              </w:rPr>
            </w:pPr>
          </w:p>
        </w:tc>
        <w:tc>
          <w:tcPr>
            <w:tcW w:w="2057" w:type="dxa"/>
            <w:vAlign w:val="center"/>
          </w:tcPr>
          <w:p w14:paraId="1B802513">
            <w:pPr>
              <w:spacing w:line="500" w:lineRule="exact"/>
              <w:jc w:val="center"/>
              <w:rPr>
                <w:rFonts w:ascii="宋体" w:hAnsi="宋体" w:cs="宋体"/>
                <w:b/>
                <w:bCs/>
                <w:szCs w:val="21"/>
              </w:rPr>
            </w:pPr>
            <w:r>
              <w:rPr>
                <w:rFonts w:hint="eastAsia" w:ascii="宋体" w:hAnsi="宋体" w:cs="宋体"/>
                <w:szCs w:val="21"/>
                <w:lang w:bidi="ar"/>
              </w:rPr>
              <w:t>密评</w:t>
            </w:r>
          </w:p>
        </w:tc>
        <w:tc>
          <w:tcPr>
            <w:tcW w:w="5645" w:type="dxa"/>
            <w:vAlign w:val="center"/>
          </w:tcPr>
          <w:p w14:paraId="4F8FB1DF">
            <w:pPr>
              <w:spacing w:line="500" w:lineRule="exact"/>
              <w:jc w:val="center"/>
              <w:rPr>
                <w:rFonts w:ascii="宋体" w:hAnsi="宋体" w:cs="宋体"/>
                <w:szCs w:val="21"/>
                <w:lang w:bidi="ar"/>
              </w:rPr>
            </w:pPr>
            <w:r>
              <w:rPr>
                <w:rFonts w:hint="eastAsia" w:ascii="宋体" w:hAnsi="宋体" w:cs="宋体"/>
                <w:szCs w:val="21"/>
                <w:lang w:bidi="ar"/>
              </w:rPr>
              <w:t>数字人大系统</w:t>
            </w:r>
          </w:p>
        </w:tc>
      </w:tr>
      <w:tr w14:paraId="0558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83" w:type="dxa"/>
            <w:vMerge w:val="restart"/>
            <w:vAlign w:val="center"/>
          </w:tcPr>
          <w:p w14:paraId="38A79018">
            <w:pPr>
              <w:spacing w:line="500" w:lineRule="exact"/>
              <w:jc w:val="center"/>
              <w:rPr>
                <w:rFonts w:ascii="宋体" w:hAnsi="宋体" w:cs="宋体"/>
                <w:b/>
                <w:bCs/>
                <w:szCs w:val="21"/>
              </w:rPr>
            </w:pPr>
            <w:r>
              <w:rPr>
                <w:rFonts w:hint="eastAsia" w:ascii="宋体" w:hAnsi="宋体" w:cs="宋体"/>
                <w:szCs w:val="21"/>
                <w:lang w:bidi="ar"/>
              </w:rPr>
              <w:t>2026</w:t>
            </w:r>
          </w:p>
        </w:tc>
        <w:tc>
          <w:tcPr>
            <w:tcW w:w="2057" w:type="dxa"/>
            <w:vAlign w:val="center"/>
          </w:tcPr>
          <w:p w14:paraId="3BAA3797">
            <w:pPr>
              <w:spacing w:line="500" w:lineRule="exact"/>
              <w:jc w:val="center"/>
              <w:rPr>
                <w:rFonts w:ascii="宋体" w:hAnsi="宋体" w:cs="宋体"/>
                <w:b/>
                <w:bCs/>
                <w:szCs w:val="21"/>
              </w:rPr>
            </w:pPr>
            <w:r>
              <w:rPr>
                <w:rFonts w:hint="eastAsia" w:ascii="宋体" w:hAnsi="宋体" w:cs="宋体"/>
                <w:szCs w:val="21"/>
                <w:lang w:bidi="ar"/>
              </w:rPr>
              <w:t>运维</w:t>
            </w:r>
          </w:p>
        </w:tc>
        <w:tc>
          <w:tcPr>
            <w:tcW w:w="5645" w:type="dxa"/>
            <w:vAlign w:val="center"/>
          </w:tcPr>
          <w:p w14:paraId="3D3127BC">
            <w:pPr>
              <w:spacing w:line="500" w:lineRule="exact"/>
              <w:jc w:val="center"/>
              <w:rPr>
                <w:rFonts w:ascii="宋体" w:hAnsi="宋体" w:cs="宋体"/>
                <w:szCs w:val="21"/>
                <w:lang w:bidi="ar"/>
              </w:rPr>
            </w:pPr>
            <w:r>
              <w:rPr>
                <w:rFonts w:hint="eastAsia" w:ascii="宋体" w:hAnsi="宋体" w:cs="宋体"/>
                <w:szCs w:val="21"/>
                <w:lang w:bidi="ar"/>
              </w:rPr>
              <w:t>数字人大系统、司法监督平台</w:t>
            </w:r>
          </w:p>
        </w:tc>
      </w:tr>
      <w:tr w14:paraId="69D9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83" w:type="dxa"/>
            <w:vMerge w:val="continue"/>
          </w:tcPr>
          <w:p w14:paraId="7F17C3EA">
            <w:pPr>
              <w:snapToGrid w:val="0"/>
              <w:spacing w:line="360" w:lineRule="auto"/>
              <w:rPr>
                <w:rFonts w:ascii="宋体" w:hAnsi="宋体" w:cs="宋体"/>
                <w:b/>
                <w:bCs/>
                <w:szCs w:val="21"/>
              </w:rPr>
            </w:pPr>
          </w:p>
        </w:tc>
        <w:tc>
          <w:tcPr>
            <w:tcW w:w="2057" w:type="dxa"/>
            <w:vMerge w:val="restart"/>
            <w:vAlign w:val="center"/>
          </w:tcPr>
          <w:p w14:paraId="67AF85C3">
            <w:pPr>
              <w:spacing w:line="500" w:lineRule="exact"/>
              <w:jc w:val="center"/>
              <w:rPr>
                <w:rFonts w:ascii="宋体" w:hAnsi="宋体" w:cs="宋体"/>
                <w:b/>
                <w:bCs/>
                <w:szCs w:val="21"/>
              </w:rPr>
            </w:pPr>
            <w:r>
              <w:rPr>
                <w:rFonts w:hint="eastAsia" w:ascii="宋体" w:hAnsi="宋体" w:cs="宋体"/>
                <w:szCs w:val="21"/>
                <w:lang w:bidi="ar"/>
              </w:rPr>
              <w:t>等保测评</w:t>
            </w:r>
          </w:p>
        </w:tc>
        <w:tc>
          <w:tcPr>
            <w:tcW w:w="5645" w:type="dxa"/>
            <w:vAlign w:val="center"/>
          </w:tcPr>
          <w:p w14:paraId="6F7C2EF4">
            <w:pPr>
              <w:spacing w:line="500" w:lineRule="exact"/>
              <w:jc w:val="center"/>
              <w:rPr>
                <w:rFonts w:ascii="宋体" w:hAnsi="宋体" w:cs="宋体"/>
                <w:szCs w:val="21"/>
                <w:lang w:bidi="ar"/>
              </w:rPr>
            </w:pPr>
            <w:r>
              <w:rPr>
                <w:rFonts w:hint="eastAsia" w:ascii="宋体" w:hAnsi="宋体" w:cs="宋体"/>
                <w:szCs w:val="21"/>
                <w:lang w:bidi="ar"/>
              </w:rPr>
              <w:t>三级（数字人大系统）</w:t>
            </w:r>
          </w:p>
        </w:tc>
      </w:tr>
      <w:tr w14:paraId="4E33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83" w:type="dxa"/>
            <w:vMerge w:val="continue"/>
          </w:tcPr>
          <w:p w14:paraId="41FBEFB6">
            <w:pPr>
              <w:snapToGrid w:val="0"/>
              <w:spacing w:line="360" w:lineRule="auto"/>
              <w:rPr>
                <w:rFonts w:ascii="宋体" w:hAnsi="宋体" w:cs="宋体"/>
                <w:b/>
                <w:bCs/>
                <w:szCs w:val="21"/>
              </w:rPr>
            </w:pPr>
          </w:p>
        </w:tc>
        <w:tc>
          <w:tcPr>
            <w:tcW w:w="2057" w:type="dxa"/>
            <w:vMerge w:val="continue"/>
          </w:tcPr>
          <w:p w14:paraId="7361839C">
            <w:pPr>
              <w:snapToGrid w:val="0"/>
              <w:spacing w:line="360" w:lineRule="auto"/>
              <w:rPr>
                <w:rFonts w:ascii="宋体" w:hAnsi="宋体" w:cs="宋体"/>
                <w:b/>
                <w:bCs/>
                <w:szCs w:val="21"/>
              </w:rPr>
            </w:pPr>
          </w:p>
        </w:tc>
        <w:tc>
          <w:tcPr>
            <w:tcW w:w="5645" w:type="dxa"/>
            <w:vAlign w:val="center"/>
          </w:tcPr>
          <w:p w14:paraId="1C48EF7C">
            <w:pPr>
              <w:spacing w:line="500" w:lineRule="exact"/>
              <w:jc w:val="center"/>
              <w:rPr>
                <w:rFonts w:ascii="宋体" w:hAnsi="宋体" w:cs="宋体"/>
                <w:szCs w:val="21"/>
                <w:lang w:bidi="ar"/>
              </w:rPr>
            </w:pPr>
            <w:r>
              <w:rPr>
                <w:rFonts w:hint="eastAsia" w:ascii="宋体" w:hAnsi="宋体" w:cs="宋体"/>
                <w:szCs w:val="21"/>
                <w:lang w:bidi="ar"/>
              </w:rPr>
              <w:t>二级（预算监督联网系统）</w:t>
            </w:r>
          </w:p>
        </w:tc>
      </w:tr>
      <w:tr w14:paraId="7FAF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83" w:type="dxa"/>
            <w:vMerge w:val="continue"/>
          </w:tcPr>
          <w:p w14:paraId="12C3A4EB">
            <w:pPr>
              <w:snapToGrid w:val="0"/>
              <w:spacing w:line="360" w:lineRule="auto"/>
              <w:rPr>
                <w:rFonts w:ascii="宋体" w:hAnsi="宋体" w:cs="宋体"/>
                <w:b/>
                <w:bCs/>
                <w:szCs w:val="21"/>
              </w:rPr>
            </w:pPr>
          </w:p>
        </w:tc>
        <w:tc>
          <w:tcPr>
            <w:tcW w:w="2057" w:type="dxa"/>
            <w:vAlign w:val="center"/>
          </w:tcPr>
          <w:p w14:paraId="4931AF15">
            <w:pPr>
              <w:spacing w:line="500" w:lineRule="exact"/>
              <w:jc w:val="center"/>
              <w:rPr>
                <w:rFonts w:ascii="宋体" w:hAnsi="宋体" w:cs="宋体"/>
                <w:b/>
                <w:bCs/>
                <w:szCs w:val="21"/>
              </w:rPr>
            </w:pPr>
            <w:r>
              <w:rPr>
                <w:rFonts w:hint="eastAsia" w:ascii="宋体" w:hAnsi="宋体" w:cs="宋体"/>
                <w:szCs w:val="21"/>
                <w:lang w:bidi="ar"/>
              </w:rPr>
              <w:t>密评</w:t>
            </w:r>
          </w:p>
        </w:tc>
        <w:tc>
          <w:tcPr>
            <w:tcW w:w="5645" w:type="dxa"/>
            <w:vAlign w:val="center"/>
          </w:tcPr>
          <w:p w14:paraId="67137BFE">
            <w:pPr>
              <w:spacing w:line="500" w:lineRule="exact"/>
              <w:jc w:val="center"/>
              <w:rPr>
                <w:rFonts w:ascii="宋体" w:hAnsi="宋体" w:cs="宋体"/>
                <w:szCs w:val="21"/>
                <w:lang w:bidi="ar"/>
              </w:rPr>
            </w:pPr>
            <w:r>
              <w:rPr>
                <w:rFonts w:hint="eastAsia" w:ascii="宋体" w:hAnsi="宋体" w:cs="宋体"/>
                <w:szCs w:val="21"/>
                <w:lang w:bidi="ar"/>
              </w:rPr>
              <w:t>数字人大系统</w:t>
            </w:r>
          </w:p>
        </w:tc>
      </w:tr>
      <w:tr w14:paraId="536A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83" w:type="dxa"/>
            <w:vMerge w:val="restart"/>
            <w:vAlign w:val="center"/>
          </w:tcPr>
          <w:p w14:paraId="753B0628">
            <w:pPr>
              <w:spacing w:line="500" w:lineRule="exact"/>
              <w:jc w:val="center"/>
              <w:rPr>
                <w:rFonts w:ascii="宋体" w:hAnsi="宋体" w:cs="宋体"/>
                <w:b/>
                <w:bCs/>
                <w:szCs w:val="21"/>
              </w:rPr>
            </w:pPr>
            <w:r>
              <w:rPr>
                <w:rFonts w:hint="eastAsia" w:ascii="宋体" w:hAnsi="宋体" w:cs="宋体"/>
                <w:szCs w:val="21"/>
                <w:lang w:bidi="ar"/>
              </w:rPr>
              <w:t>2027</w:t>
            </w:r>
          </w:p>
        </w:tc>
        <w:tc>
          <w:tcPr>
            <w:tcW w:w="2057" w:type="dxa"/>
            <w:vAlign w:val="center"/>
          </w:tcPr>
          <w:p w14:paraId="37D5E6B3">
            <w:pPr>
              <w:spacing w:line="500" w:lineRule="exact"/>
              <w:jc w:val="center"/>
              <w:rPr>
                <w:rFonts w:ascii="宋体" w:hAnsi="宋体" w:cs="宋体"/>
                <w:b/>
                <w:bCs/>
                <w:szCs w:val="21"/>
              </w:rPr>
            </w:pPr>
            <w:r>
              <w:rPr>
                <w:rFonts w:hint="eastAsia" w:ascii="宋体" w:hAnsi="宋体" w:cs="宋体"/>
                <w:szCs w:val="21"/>
                <w:lang w:bidi="ar"/>
              </w:rPr>
              <w:t>运维</w:t>
            </w:r>
          </w:p>
        </w:tc>
        <w:tc>
          <w:tcPr>
            <w:tcW w:w="5645" w:type="dxa"/>
            <w:vAlign w:val="center"/>
          </w:tcPr>
          <w:p w14:paraId="5B20247D">
            <w:pPr>
              <w:spacing w:line="500" w:lineRule="exact"/>
              <w:jc w:val="center"/>
              <w:rPr>
                <w:rFonts w:ascii="宋体" w:hAnsi="宋体" w:cs="宋体"/>
                <w:szCs w:val="21"/>
                <w:lang w:bidi="ar"/>
              </w:rPr>
            </w:pPr>
            <w:r>
              <w:rPr>
                <w:rFonts w:hint="eastAsia" w:ascii="宋体" w:hAnsi="宋体" w:cs="宋体"/>
                <w:szCs w:val="21"/>
                <w:lang w:bidi="ar"/>
              </w:rPr>
              <w:t>数字人大系统、司法监督平台</w:t>
            </w:r>
          </w:p>
        </w:tc>
      </w:tr>
      <w:tr w14:paraId="2496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83" w:type="dxa"/>
            <w:vMerge w:val="continue"/>
          </w:tcPr>
          <w:p w14:paraId="0E5A4845">
            <w:pPr>
              <w:snapToGrid w:val="0"/>
              <w:spacing w:line="360" w:lineRule="auto"/>
              <w:rPr>
                <w:rFonts w:ascii="宋体" w:hAnsi="宋体" w:cs="宋体"/>
                <w:b/>
                <w:bCs/>
                <w:szCs w:val="21"/>
              </w:rPr>
            </w:pPr>
          </w:p>
        </w:tc>
        <w:tc>
          <w:tcPr>
            <w:tcW w:w="2057" w:type="dxa"/>
            <w:vMerge w:val="restart"/>
            <w:vAlign w:val="center"/>
          </w:tcPr>
          <w:p w14:paraId="10118DFF">
            <w:pPr>
              <w:spacing w:line="500" w:lineRule="exact"/>
              <w:jc w:val="center"/>
              <w:rPr>
                <w:rFonts w:ascii="宋体" w:hAnsi="宋体" w:cs="宋体"/>
                <w:b/>
                <w:bCs/>
                <w:szCs w:val="21"/>
              </w:rPr>
            </w:pPr>
            <w:r>
              <w:rPr>
                <w:rFonts w:hint="eastAsia" w:ascii="宋体" w:hAnsi="宋体" w:cs="宋体"/>
                <w:szCs w:val="21"/>
                <w:lang w:bidi="ar"/>
              </w:rPr>
              <w:t>等保测评</w:t>
            </w:r>
          </w:p>
        </w:tc>
        <w:tc>
          <w:tcPr>
            <w:tcW w:w="5645" w:type="dxa"/>
            <w:vAlign w:val="center"/>
          </w:tcPr>
          <w:p w14:paraId="272ADAF4">
            <w:pPr>
              <w:spacing w:line="500" w:lineRule="exact"/>
              <w:jc w:val="center"/>
              <w:rPr>
                <w:rFonts w:ascii="宋体" w:hAnsi="宋体" w:cs="宋体"/>
                <w:szCs w:val="21"/>
                <w:lang w:bidi="ar"/>
              </w:rPr>
            </w:pPr>
            <w:r>
              <w:rPr>
                <w:rFonts w:hint="eastAsia" w:ascii="宋体" w:hAnsi="宋体" w:cs="宋体"/>
                <w:szCs w:val="21"/>
                <w:lang w:bidi="ar"/>
              </w:rPr>
              <w:t>三级（数字人大系统）</w:t>
            </w:r>
          </w:p>
        </w:tc>
      </w:tr>
      <w:tr w14:paraId="3AE8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83" w:type="dxa"/>
            <w:vMerge w:val="continue"/>
          </w:tcPr>
          <w:p w14:paraId="3B93B895">
            <w:pPr>
              <w:snapToGrid w:val="0"/>
              <w:spacing w:line="360" w:lineRule="auto"/>
              <w:rPr>
                <w:rFonts w:ascii="宋体" w:hAnsi="宋体" w:cs="宋体"/>
                <w:b/>
                <w:bCs/>
                <w:szCs w:val="21"/>
              </w:rPr>
            </w:pPr>
          </w:p>
        </w:tc>
        <w:tc>
          <w:tcPr>
            <w:tcW w:w="2057" w:type="dxa"/>
            <w:vMerge w:val="continue"/>
          </w:tcPr>
          <w:p w14:paraId="37FAA9D1">
            <w:pPr>
              <w:snapToGrid w:val="0"/>
              <w:spacing w:line="360" w:lineRule="auto"/>
              <w:rPr>
                <w:rFonts w:ascii="宋体" w:hAnsi="宋体" w:cs="宋体"/>
                <w:b/>
                <w:bCs/>
                <w:szCs w:val="21"/>
              </w:rPr>
            </w:pPr>
          </w:p>
        </w:tc>
        <w:tc>
          <w:tcPr>
            <w:tcW w:w="5645" w:type="dxa"/>
            <w:vAlign w:val="center"/>
          </w:tcPr>
          <w:p w14:paraId="14BACF52">
            <w:pPr>
              <w:spacing w:line="500" w:lineRule="exact"/>
              <w:jc w:val="center"/>
              <w:rPr>
                <w:rFonts w:ascii="宋体" w:hAnsi="宋体" w:cs="宋体"/>
                <w:szCs w:val="21"/>
                <w:lang w:bidi="ar"/>
              </w:rPr>
            </w:pPr>
            <w:r>
              <w:rPr>
                <w:rFonts w:hint="eastAsia" w:ascii="宋体" w:hAnsi="宋体" w:cs="宋体"/>
                <w:szCs w:val="21"/>
                <w:lang w:bidi="ar"/>
              </w:rPr>
              <w:t>二级（司法监督平台）</w:t>
            </w:r>
          </w:p>
        </w:tc>
      </w:tr>
      <w:tr w14:paraId="42D8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83" w:type="dxa"/>
            <w:vMerge w:val="continue"/>
          </w:tcPr>
          <w:p w14:paraId="4FEF9CE8">
            <w:pPr>
              <w:snapToGrid w:val="0"/>
              <w:spacing w:line="360" w:lineRule="auto"/>
              <w:rPr>
                <w:rFonts w:ascii="宋体" w:hAnsi="宋体" w:cs="宋体"/>
                <w:b/>
                <w:bCs/>
                <w:szCs w:val="21"/>
              </w:rPr>
            </w:pPr>
          </w:p>
        </w:tc>
        <w:tc>
          <w:tcPr>
            <w:tcW w:w="2057" w:type="dxa"/>
            <w:vAlign w:val="center"/>
          </w:tcPr>
          <w:p w14:paraId="07A25FEA">
            <w:pPr>
              <w:spacing w:line="500" w:lineRule="exact"/>
              <w:jc w:val="center"/>
              <w:rPr>
                <w:rFonts w:ascii="宋体" w:hAnsi="宋体" w:cs="宋体"/>
                <w:b/>
                <w:bCs/>
                <w:szCs w:val="21"/>
              </w:rPr>
            </w:pPr>
            <w:r>
              <w:rPr>
                <w:rFonts w:hint="eastAsia" w:ascii="宋体" w:hAnsi="宋体" w:cs="宋体"/>
                <w:szCs w:val="21"/>
                <w:lang w:bidi="ar"/>
              </w:rPr>
              <w:t>密评</w:t>
            </w:r>
          </w:p>
        </w:tc>
        <w:tc>
          <w:tcPr>
            <w:tcW w:w="5645" w:type="dxa"/>
            <w:vAlign w:val="center"/>
          </w:tcPr>
          <w:p w14:paraId="3E7CBACE">
            <w:pPr>
              <w:spacing w:line="500" w:lineRule="exact"/>
              <w:jc w:val="center"/>
              <w:rPr>
                <w:rFonts w:ascii="宋体" w:hAnsi="宋体" w:cs="宋体"/>
                <w:szCs w:val="21"/>
                <w:lang w:bidi="ar"/>
              </w:rPr>
            </w:pPr>
            <w:r>
              <w:rPr>
                <w:rFonts w:hint="eastAsia" w:ascii="宋体" w:hAnsi="宋体" w:cs="宋体"/>
                <w:szCs w:val="21"/>
                <w:lang w:bidi="ar"/>
              </w:rPr>
              <w:t>数字人大系统</w:t>
            </w:r>
          </w:p>
        </w:tc>
      </w:tr>
      <w:tr w14:paraId="7816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83" w:type="dxa"/>
            <w:vAlign w:val="center"/>
          </w:tcPr>
          <w:p w14:paraId="7FE0D9A8">
            <w:pPr>
              <w:spacing w:line="500" w:lineRule="exact"/>
              <w:jc w:val="center"/>
              <w:rPr>
                <w:rFonts w:ascii="宋体" w:hAnsi="宋体" w:cs="宋体"/>
                <w:b/>
                <w:bCs/>
                <w:szCs w:val="21"/>
              </w:rPr>
            </w:pPr>
            <w:r>
              <w:rPr>
                <w:rFonts w:hint="eastAsia" w:ascii="宋体" w:hAnsi="宋体" w:cs="宋体"/>
                <w:szCs w:val="21"/>
                <w:lang w:bidi="ar"/>
              </w:rPr>
              <w:t>2028</w:t>
            </w:r>
          </w:p>
        </w:tc>
        <w:tc>
          <w:tcPr>
            <w:tcW w:w="2057" w:type="dxa"/>
          </w:tcPr>
          <w:p w14:paraId="3B2680A7">
            <w:pPr>
              <w:snapToGrid w:val="0"/>
              <w:spacing w:line="360" w:lineRule="auto"/>
              <w:rPr>
                <w:rFonts w:ascii="宋体" w:hAnsi="宋体" w:cs="宋体"/>
                <w:b/>
                <w:bCs/>
                <w:szCs w:val="21"/>
              </w:rPr>
            </w:pPr>
            <w:r>
              <w:rPr>
                <w:rFonts w:hint="eastAsia" w:ascii="宋体" w:hAnsi="宋体" w:cs="宋体"/>
                <w:szCs w:val="21"/>
                <w:lang w:bidi="ar"/>
              </w:rPr>
              <w:t>运维费1月-6月</w:t>
            </w:r>
          </w:p>
        </w:tc>
        <w:tc>
          <w:tcPr>
            <w:tcW w:w="5645" w:type="dxa"/>
            <w:vAlign w:val="center"/>
          </w:tcPr>
          <w:p w14:paraId="4A669C7C">
            <w:pPr>
              <w:spacing w:line="500" w:lineRule="exact"/>
              <w:jc w:val="center"/>
              <w:rPr>
                <w:rFonts w:ascii="宋体" w:hAnsi="宋体" w:cs="宋体"/>
                <w:szCs w:val="21"/>
                <w:lang w:bidi="ar"/>
              </w:rPr>
            </w:pPr>
            <w:r>
              <w:rPr>
                <w:rFonts w:hint="eastAsia" w:ascii="宋体" w:hAnsi="宋体" w:cs="宋体"/>
                <w:szCs w:val="21"/>
                <w:lang w:bidi="ar"/>
              </w:rPr>
              <w:t>数字人大系统、司法监督平台</w:t>
            </w:r>
          </w:p>
        </w:tc>
      </w:tr>
    </w:tbl>
    <w:p w14:paraId="1B173E48">
      <w:pPr>
        <w:snapToGrid w:val="0"/>
        <w:spacing w:line="360" w:lineRule="auto"/>
        <w:rPr>
          <w:rFonts w:ascii="宋体" w:hAnsi="宋体" w:cs="宋体"/>
          <w:b/>
          <w:bCs/>
          <w:szCs w:val="21"/>
        </w:rPr>
      </w:pPr>
      <w:r>
        <w:rPr>
          <w:rFonts w:hint="eastAsia" w:ascii="宋体" w:hAnsi="宋体" w:cs="宋体"/>
          <w:b/>
          <w:bCs/>
          <w:szCs w:val="21"/>
        </w:rPr>
        <w:t>四、付款方式</w:t>
      </w:r>
    </w:p>
    <w:p w14:paraId="4635BBB0">
      <w:pPr>
        <w:spacing w:line="360" w:lineRule="auto"/>
        <w:ind w:firstLine="420" w:firstLineChars="200"/>
        <w:rPr>
          <w:rFonts w:ascii="宋体" w:hAnsi="宋体" w:cs="宋体"/>
          <w:bCs/>
          <w:szCs w:val="21"/>
          <w:lang w:bidi="ar"/>
        </w:rPr>
      </w:pPr>
      <w:r>
        <w:rPr>
          <w:rFonts w:hint="eastAsia" w:ascii="宋体" w:hAnsi="宋体" w:cs="宋体"/>
          <w:bCs/>
          <w:szCs w:val="21"/>
          <w:lang w:bidi="ar"/>
        </w:rPr>
        <w:t>运维服务费用半年支付一次；</w:t>
      </w:r>
    </w:p>
    <w:p w14:paraId="4B04A755">
      <w:pPr>
        <w:spacing w:line="360" w:lineRule="auto"/>
        <w:ind w:firstLine="420" w:firstLineChars="200"/>
        <w:rPr>
          <w:rFonts w:ascii="宋体" w:hAnsi="宋体" w:cs="宋体"/>
          <w:bCs/>
          <w:szCs w:val="21"/>
          <w:lang w:bidi="ar"/>
        </w:rPr>
      </w:pPr>
      <w:r>
        <w:rPr>
          <w:rFonts w:hint="eastAsia" w:ascii="宋体" w:hAnsi="宋体" w:cs="宋体"/>
          <w:bCs/>
          <w:szCs w:val="21"/>
          <w:lang w:bidi="ar"/>
        </w:rPr>
        <w:t>当年等保测评完成，取得等级保护测评报告后，支付该年度等保测评服务费；</w:t>
      </w:r>
    </w:p>
    <w:p w14:paraId="55340EF5">
      <w:pPr>
        <w:spacing w:line="360" w:lineRule="auto"/>
        <w:ind w:firstLine="420" w:firstLineChars="200"/>
        <w:rPr>
          <w:rFonts w:ascii="宋体" w:hAnsi="宋体" w:cs="宋体"/>
          <w:bCs/>
          <w:szCs w:val="21"/>
          <w:lang w:bidi="ar"/>
        </w:rPr>
      </w:pPr>
      <w:r>
        <w:rPr>
          <w:rFonts w:hint="eastAsia" w:ascii="宋体" w:hAnsi="宋体" w:cs="宋体"/>
          <w:bCs/>
          <w:szCs w:val="21"/>
          <w:lang w:bidi="ar"/>
        </w:rPr>
        <w:t>当年密评完成并成功备案后，支付该年度密评服务费；</w:t>
      </w:r>
    </w:p>
    <w:p w14:paraId="64344CDA">
      <w:pPr>
        <w:spacing w:line="360" w:lineRule="auto"/>
        <w:ind w:firstLine="420" w:firstLineChars="200"/>
        <w:rPr>
          <w:rFonts w:ascii="宋体" w:hAnsi="宋体" w:cs="宋体"/>
          <w:bCs/>
          <w:szCs w:val="21"/>
          <w:lang w:bidi="ar"/>
        </w:rPr>
      </w:pPr>
      <w:r>
        <w:rPr>
          <w:rFonts w:hint="eastAsia" w:ascii="宋体" w:hAnsi="宋体" w:cs="宋体"/>
          <w:bCs/>
          <w:szCs w:val="21"/>
          <w:lang w:bidi="ar"/>
        </w:rPr>
        <w:t>每次支付前供应商出具对应金额的正式发票。</w:t>
      </w:r>
    </w:p>
    <w:p w14:paraId="502334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E6862"/>
    <w:rsid w:val="0062367D"/>
    <w:rsid w:val="00810554"/>
    <w:rsid w:val="009476F7"/>
    <w:rsid w:val="00984057"/>
    <w:rsid w:val="01705C99"/>
    <w:rsid w:val="04723F17"/>
    <w:rsid w:val="098E7907"/>
    <w:rsid w:val="0A9236AF"/>
    <w:rsid w:val="0C094B75"/>
    <w:rsid w:val="0FC26D88"/>
    <w:rsid w:val="100828AD"/>
    <w:rsid w:val="147E133E"/>
    <w:rsid w:val="167421DE"/>
    <w:rsid w:val="187675E6"/>
    <w:rsid w:val="1946255C"/>
    <w:rsid w:val="1AE42514"/>
    <w:rsid w:val="1B1E6DD1"/>
    <w:rsid w:val="1B9362C3"/>
    <w:rsid w:val="21740BCE"/>
    <w:rsid w:val="2418219D"/>
    <w:rsid w:val="254E6862"/>
    <w:rsid w:val="266D1322"/>
    <w:rsid w:val="27026E1B"/>
    <w:rsid w:val="2A790643"/>
    <w:rsid w:val="2B01206B"/>
    <w:rsid w:val="32047E1A"/>
    <w:rsid w:val="36BD095F"/>
    <w:rsid w:val="37FF0092"/>
    <w:rsid w:val="383B6F19"/>
    <w:rsid w:val="399E1B8D"/>
    <w:rsid w:val="417032FE"/>
    <w:rsid w:val="46541638"/>
    <w:rsid w:val="467B5DDC"/>
    <w:rsid w:val="4E3710B4"/>
    <w:rsid w:val="51937B70"/>
    <w:rsid w:val="51956720"/>
    <w:rsid w:val="522C70F0"/>
    <w:rsid w:val="5AB24ABD"/>
    <w:rsid w:val="656600F0"/>
    <w:rsid w:val="6BB73144"/>
    <w:rsid w:val="6D2A2CD7"/>
    <w:rsid w:val="6FE611FF"/>
    <w:rsid w:val="737050DC"/>
    <w:rsid w:val="73BB0088"/>
    <w:rsid w:val="73D85F1B"/>
    <w:rsid w:val="73E90B13"/>
    <w:rsid w:val="77E30F59"/>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3"/>
    <w:qFormat/>
    <w:uiPriority w:val="0"/>
    <w:pPr>
      <w:keepNext/>
      <w:keepLines/>
      <w:spacing w:before="340" w:after="330" w:line="578" w:lineRule="auto"/>
      <w:outlineLvl w:val="0"/>
    </w:pPr>
    <w:rPr>
      <w:rFonts w:eastAsia="楷体_GB2312"/>
      <w:b/>
      <w:kern w:val="44"/>
      <w:sz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3">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uiPriority w:val="0"/>
    <w:rPr>
      <w:rFonts w:ascii="Times New Roman" w:hAnsi="Times New Roman" w:eastAsia="宋体" w:cs="Times New Roman"/>
      <w:kern w:val="2"/>
      <w:sz w:val="18"/>
      <w:szCs w:val="18"/>
    </w:rPr>
  </w:style>
  <w:style w:type="character" w:customStyle="1" w:styleId="12">
    <w:name w:val="批注框文本 Char"/>
    <w:basedOn w:val="10"/>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3397</Words>
  <Characters>3513</Characters>
  <Lines>26</Lines>
  <Paragraphs>7</Paragraphs>
  <TotalTime>5</TotalTime>
  <ScaleCrop>false</ScaleCrop>
  <LinksUpToDate>false</LinksUpToDate>
  <CharactersWithSpaces>3518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2025-06-20T08:41:00Z</dcterms:created>
  <dc:creator>L</dc:creator>
  <cp:lastModifiedBy>cokifly</cp:lastModifiedBy>
  <cp:lastPrinted>2025-06-20T08:36:00Z</cp:lastPrinted>
  <dcterms:modified xsi:type="dcterms:W3CDTF">2025-06-20T09:11:54Z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0D9EDAA94405474FA18E73B893A650E4_13</vt:lpwstr>
  </property>
</Properties>
</file>